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635"/>
        <w:gridCol w:w="6174"/>
      </w:tblGrid>
      <w:tr w:rsidR="00B24EFE" w:rsidRPr="00227900" w14:paraId="5B7734FE" w14:textId="77777777" w:rsidTr="00C80956">
        <w:trPr>
          <w:trHeight w:val="567"/>
        </w:trPr>
        <w:tc>
          <w:tcPr>
            <w:tcW w:w="383" w:type="dxa"/>
            <w:vAlign w:val="center"/>
          </w:tcPr>
          <w:p w14:paraId="0AE656EA" w14:textId="77777777" w:rsidR="00B24EFE" w:rsidRPr="00227900" w:rsidRDefault="00B24EFE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639" w:type="dxa"/>
            <w:vAlign w:val="center"/>
          </w:tcPr>
          <w:p w14:paraId="41A0F85E" w14:textId="77777777" w:rsidR="00B24EFE" w:rsidRPr="00227900" w:rsidRDefault="00B24EFE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6187" w:type="dxa"/>
            <w:vAlign w:val="center"/>
          </w:tcPr>
          <w:p w14:paraId="5765122D" w14:textId="171400A8" w:rsidR="00B24EFE" w:rsidRPr="00452BD8" w:rsidRDefault="00274FFA" w:rsidP="00274FFA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Assistant </w:t>
            </w:r>
            <w:r w:rsidR="00452BD8" w:rsidRPr="00452BD8">
              <w:rPr>
                <w:rFonts w:ascii="Arial" w:hAnsi="Arial" w:cs="Arial"/>
                <w:sz w:val="22"/>
                <w:szCs w:val="22"/>
                <w:lang w:eastAsia="en-GB"/>
              </w:rPr>
              <w:t xml:space="preserve">Underwriting Manager </w:t>
            </w:r>
          </w:p>
        </w:tc>
      </w:tr>
      <w:tr w:rsidR="00B24EFE" w:rsidRPr="00227900" w14:paraId="6C43A2B4" w14:textId="77777777" w:rsidTr="00C80956">
        <w:trPr>
          <w:trHeight w:val="2419"/>
        </w:trPr>
        <w:tc>
          <w:tcPr>
            <w:tcW w:w="383" w:type="dxa"/>
            <w:vAlign w:val="center"/>
          </w:tcPr>
          <w:p w14:paraId="0738DCA7" w14:textId="77777777" w:rsidR="00B24EFE" w:rsidRPr="00227900" w:rsidRDefault="00C80956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639" w:type="dxa"/>
            <w:vAlign w:val="center"/>
          </w:tcPr>
          <w:p w14:paraId="2B75A71F" w14:textId="77777777" w:rsidR="00B24EFE" w:rsidRPr="00227900" w:rsidRDefault="00B24EFE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Committee Roles</w:t>
            </w:r>
            <w:r w:rsidR="00895FEF" w:rsidRPr="00227900">
              <w:rPr>
                <w:rStyle w:val="FootnoteReference"/>
                <w:rFonts w:cs="Arial"/>
                <w:color w:val="auto"/>
                <w:sz w:val="22"/>
                <w:szCs w:val="22"/>
                <w:lang w:eastAsia="en-GB"/>
              </w:rPr>
              <w:footnoteReference w:id="1"/>
            </w:r>
          </w:p>
        </w:tc>
        <w:tc>
          <w:tcPr>
            <w:tcW w:w="6187" w:type="dxa"/>
            <w:vAlign w:val="center"/>
          </w:tcPr>
          <w:p w14:paraId="5B99096E" w14:textId="77777777" w:rsidR="00B24EFE" w:rsidRPr="00227900" w:rsidRDefault="00B24EFE" w:rsidP="00B639EB">
            <w:pPr>
              <w:pStyle w:val="AmTrustBlack"/>
              <w:ind w:left="720"/>
              <w:rPr>
                <w:rFonts w:cs="Arial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sz w:val="22"/>
                <w:szCs w:val="22"/>
                <w:u w:val="single"/>
                <w:lang w:eastAsia="en-GB"/>
              </w:rPr>
              <w:t>Chair</w:t>
            </w:r>
          </w:p>
          <w:p w14:paraId="190BB182" w14:textId="63878F41" w:rsidR="00B24EFE" w:rsidRPr="00452BD8" w:rsidRDefault="00452BD8" w:rsidP="00452BD8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52BD8">
              <w:rPr>
                <w:rFonts w:ascii="Arial" w:hAnsi="Arial" w:cs="Arial"/>
                <w:sz w:val="22"/>
                <w:szCs w:val="22"/>
                <w:lang w:eastAsia="en-GB"/>
              </w:rPr>
              <w:t>None</w:t>
            </w:r>
          </w:p>
          <w:p w14:paraId="1684C5B4" w14:textId="77777777" w:rsidR="00B24EFE" w:rsidRPr="00227900" w:rsidRDefault="00B24EFE" w:rsidP="00B639EB">
            <w:pPr>
              <w:pStyle w:val="AmTrustBlack"/>
              <w:rPr>
                <w:rFonts w:cs="Arial"/>
                <w:sz w:val="22"/>
                <w:szCs w:val="22"/>
                <w:lang w:eastAsia="en-GB"/>
              </w:rPr>
            </w:pPr>
          </w:p>
          <w:p w14:paraId="7EA1570A" w14:textId="77777777" w:rsidR="00B24EFE" w:rsidRPr="00227900" w:rsidRDefault="00B24EFE" w:rsidP="00B639EB">
            <w:pPr>
              <w:pStyle w:val="AmTrustBlack"/>
              <w:ind w:left="720"/>
              <w:rPr>
                <w:rFonts w:cs="Arial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sz w:val="22"/>
                <w:szCs w:val="22"/>
                <w:u w:val="single"/>
                <w:lang w:eastAsia="en-GB"/>
              </w:rPr>
              <w:t>Member</w:t>
            </w:r>
          </w:p>
          <w:p w14:paraId="0E9513DF" w14:textId="08952BB3" w:rsidR="00B24EFE" w:rsidRPr="00452BD8" w:rsidRDefault="00452BD8" w:rsidP="00452BD8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452BD8">
              <w:rPr>
                <w:rFonts w:ascii="Arial" w:hAnsi="Arial" w:cs="Arial"/>
                <w:sz w:val="22"/>
                <w:szCs w:val="22"/>
                <w:lang w:eastAsia="en-GB"/>
              </w:rPr>
              <w:t>None</w:t>
            </w:r>
          </w:p>
          <w:p w14:paraId="01D1E4D0" w14:textId="77777777" w:rsidR="00B24EFE" w:rsidRPr="00227900" w:rsidRDefault="00B24EFE" w:rsidP="00452BD8">
            <w:pPr>
              <w:pStyle w:val="AmTrustBlack"/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B24EFE" w:rsidRPr="00227900" w14:paraId="750E088A" w14:textId="77777777" w:rsidTr="00C80956">
        <w:trPr>
          <w:trHeight w:val="1531"/>
        </w:trPr>
        <w:tc>
          <w:tcPr>
            <w:tcW w:w="383" w:type="dxa"/>
            <w:vAlign w:val="center"/>
          </w:tcPr>
          <w:p w14:paraId="79C5B47F" w14:textId="77777777" w:rsidR="00B24EFE" w:rsidRPr="00227900" w:rsidRDefault="00C80956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639" w:type="dxa"/>
            <w:vAlign w:val="center"/>
          </w:tcPr>
          <w:p w14:paraId="30AA6CA4" w14:textId="77777777" w:rsidR="00B24EFE" w:rsidRPr="00227900" w:rsidRDefault="00B24EFE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Reporting Line</w:t>
            </w:r>
          </w:p>
        </w:tc>
        <w:tc>
          <w:tcPr>
            <w:tcW w:w="6187" w:type="dxa"/>
            <w:vAlign w:val="center"/>
          </w:tcPr>
          <w:p w14:paraId="693D7067" w14:textId="1484416C" w:rsidR="00B24EFE" w:rsidRPr="00227900" w:rsidRDefault="00274FFA" w:rsidP="00452BD8">
            <w:pPr>
              <w:autoSpaceDE w:val="0"/>
              <w:autoSpaceDN w:val="0"/>
              <w:adjustRightInd w:val="0"/>
              <w:ind w:left="720"/>
              <w:jc w:val="both"/>
              <w:rPr>
                <w:rFonts w:cs="Arial"/>
                <w:i/>
                <w:color w:val="A6A6A6" w:themeColor="background1" w:themeShade="A6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Underwriting Manager</w:t>
            </w:r>
            <w:r w:rsidR="005C587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45951" w:rsidRPr="00227900" w14:paraId="6DFECEA2" w14:textId="77777777" w:rsidTr="00C80956">
        <w:trPr>
          <w:trHeight w:val="624"/>
        </w:trPr>
        <w:tc>
          <w:tcPr>
            <w:tcW w:w="383" w:type="dxa"/>
            <w:vAlign w:val="center"/>
          </w:tcPr>
          <w:p w14:paraId="366A9044" w14:textId="77777777" w:rsidR="00945951" w:rsidRPr="00227900" w:rsidRDefault="00C80956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639" w:type="dxa"/>
            <w:vAlign w:val="center"/>
          </w:tcPr>
          <w:p w14:paraId="312D5D8A" w14:textId="77777777" w:rsidR="00945951" w:rsidRPr="00227900" w:rsidRDefault="00945951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Direct Reports </w:t>
            </w:r>
          </w:p>
        </w:tc>
        <w:tc>
          <w:tcPr>
            <w:tcW w:w="6187" w:type="dxa"/>
            <w:vAlign w:val="center"/>
          </w:tcPr>
          <w:p w14:paraId="346A52FF" w14:textId="33A64C46" w:rsidR="00945951" w:rsidRPr="00227900" w:rsidRDefault="005B4C75" w:rsidP="004B446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None</w:t>
            </w:r>
          </w:p>
        </w:tc>
      </w:tr>
      <w:tr w:rsidR="00037961" w:rsidRPr="00227900" w14:paraId="5C46D5FF" w14:textId="77777777" w:rsidTr="00C80956">
        <w:trPr>
          <w:trHeight w:val="624"/>
        </w:trPr>
        <w:tc>
          <w:tcPr>
            <w:tcW w:w="383" w:type="dxa"/>
            <w:vAlign w:val="center"/>
          </w:tcPr>
          <w:p w14:paraId="634A206C" w14:textId="77777777" w:rsidR="00037961" w:rsidRPr="00227900" w:rsidRDefault="00C80956" w:rsidP="00945951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639" w:type="dxa"/>
            <w:vAlign w:val="center"/>
          </w:tcPr>
          <w:p w14:paraId="2DCACDF1" w14:textId="77777777" w:rsidR="00037961" w:rsidRPr="00227900" w:rsidRDefault="00037961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Key Stakeholders</w:t>
            </w:r>
          </w:p>
        </w:tc>
        <w:tc>
          <w:tcPr>
            <w:tcW w:w="6187" w:type="dxa"/>
            <w:vAlign w:val="center"/>
          </w:tcPr>
          <w:p w14:paraId="298B5606" w14:textId="4072F094" w:rsidR="00BA60F5" w:rsidRPr="00BA60F5" w:rsidRDefault="005C5878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Chief Underwriting Officer</w:t>
            </w:r>
          </w:p>
          <w:p w14:paraId="616FF0FB" w14:textId="77777777" w:rsidR="00BA60F5" w:rsidRPr="00BA60F5" w:rsidRDefault="00BA60F5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A60F5">
              <w:rPr>
                <w:rFonts w:ascii="Arial" w:hAnsi="Arial" w:cs="Arial"/>
                <w:sz w:val="22"/>
                <w:szCs w:val="22"/>
                <w:lang w:eastAsia="en-GB"/>
              </w:rPr>
              <w:t>Head of Actuarial &amp; Actuarial Team</w:t>
            </w:r>
          </w:p>
          <w:p w14:paraId="077A51EB" w14:textId="77777777" w:rsidR="00BA60F5" w:rsidRPr="00BA60F5" w:rsidRDefault="00BA60F5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A60F5">
              <w:rPr>
                <w:rFonts w:ascii="Arial" w:hAnsi="Arial" w:cs="Arial"/>
                <w:sz w:val="22"/>
                <w:szCs w:val="22"/>
                <w:lang w:eastAsia="en-GB"/>
              </w:rPr>
              <w:t>Head of Operations &amp; Team</w:t>
            </w:r>
          </w:p>
          <w:p w14:paraId="7AA54BDB" w14:textId="77777777" w:rsidR="00BA60F5" w:rsidRPr="00BA60F5" w:rsidRDefault="00BA60F5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A60F5">
              <w:rPr>
                <w:rFonts w:ascii="Arial" w:hAnsi="Arial" w:cs="Arial"/>
                <w:sz w:val="22"/>
                <w:szCs w:val="22"/>
                <w:lang w:eastAsia="en-GB"/>
              </w:rPr>
              <w:t>Head of Marketing &amp; Team</w:t>
            </w:r>
          </w:p>
          <w:p w14:paraId="325C0632" w14:textId="77777777" w:rsidR="00BA60F5" w:rsidRPr="00BA60F5" w:rsidRDefault="00BA60F5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A60F5">
              <w:rPr>
                <w:rFonts w:ascii="Arial" w:hAnsi="Arial" w:cs="Arial"/>
                <w:sz w:val="22"/>
                <w:szCs w:val="22"/>
                <w:lang w:eastAsia="en-GB"/>
              </w:rPr>
              <w:t>Head of Finance, CCPI &amp; Team</w:t>
            </w:r>
          </w:p>
          <w:p w14:paraId="0F668CE6" w14:textId="77777777" w:rsidR="00BA60F5" w:rsidRPr="00BA60F5" w:rsidRDefault="00BA60F5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A60F5">
              <w:rPr>
                <w:rFonts w:ascii="Arial" w:hAnsi="Arial" w:cs="Arial"/>
                <w:sz w:val="22"/>
                <w:szCs w:val="22"/>
                <w:lang w:eastAsia="en-GB"/>
              </w:rPr>
              <w:t>Underwriting Managers  &amp; Assistants CCPI</w:t>
            </w:r>
          </w:p>
          <w:p w14:paraId="4B6105E6" w14:textId="77777777" w:rsidR="00037961" w:rsidRDefault="00BA60F5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n-GB"/>
              </w:rPr>
            </w:pPr>
            <w:r w:rsidRPr="00BA60F5">
              <w:rPr>
                <w:rFonts w:ascii="Arial" w:hAnsi="Arial" w:cs="Arial"/>
                <w:sz w:val="22"/>
                <w:szCs w:val="22"/>
                <w:lang w:eastAsia="en-GB"/>
              </w:rPr>
              <w:t>AEL &amp; AIU Underwriting Teams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  <w:lang w:eastAsia="en-GB"/>
              </w:rPr>
              <w:t xml:space="preserve">  </w:t>
            </w:r>
          </w:p>
          <w:p w14:paraId="245063A4" w14:textId="1A89A45A" w:rsidR="00C8016D" w:rsidRDefault="00C8016D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8016D">
              <w:rPr>
                <w:rFonts w:ascii="Arial" w:hAnsi="Arial" w:cs="Arial"/>
                <w:sz w:val="22"/>
                <w:szCs w:val="22"/>
                <w:lang w:eastAsia="en-GB"/>
              </w:rPr>
              <w:t>Compliance Team</w:t>
            </w:r>
          </w:p>
          <w:p w14:paraId="2D72DFE5" w14:textId="7E805DBB" w:rsidR="00D937BC" w:rsidRDefault="00D937BC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CCP Account Managers (programme specific).</w:t>
            </w:r>
          </w:p>
          <w:p w14:paraId="584B4FF2" w14:textId="70C74E71" w:rsidR="004229A6" w:rsidRPr="00227900" w:rsidRDefault="004229A6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277B41" w:rsidRPr="00227900" w14:paraId="57DEB655" w14:textId="77777777" w:rsidTr="00C80956">
        <w:trPr>
          <w:trHeight w:val="624"/>
        </w:trPr>
        <w:tc>
          <w:tcPr>
            <w:tcW w:w="383" w:type="dxa"/>
            <w:vAlign w:val="center"/>
          </w:tcPr>
          <w:p w14:paraId="248C84BC" w14:textId="77777777" w:rsidR="00277B41" w:rsidRPr="00227900" w:rsidRDefault="00945951" w:rsidP="00945951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639" w:type="dxa"/>
            <w:vAlign w:val="center"/>
          </w:tcPr>
          <w:p w14:paraId="3DCCE5C2" w14:textId="77777777" w:rsidR="00277B41" w:rsidRPr="00227900" w:rsidRDefault="00277B41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>Applicable Conduct Rules</w:t>
            </w:r>
          </w:p>
        </w:tc>
        <w:tc>
          <w:tcPr>
            <w:tcW w:w="6187" w:type="dxa"/>
            <w:vAlign w:val="center"/>
          </w:tcPr>
          <w:p w14:paraId="7897058F" w14:textId="77777777" w:rsidR="004B4465" w:rsidRPr="00227900" w:rsidRDefault="004B4465" w:rsidP="004B446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Individual Conduct Rules</w:t>
            </w:r>
          </w:p>
          <w:p w14:paraId="54BD4718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act with integrity.</w:t>
            </w:r>
          </w:p>
          <w:p w14:paraId="7C5D3F34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act with due skill, care and diligence.</w:t>
            </w:r>
          </w:p>
          <w:p w14:paraId="204EA5C7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be open and cooperative with the FCA, the PRA and other regulators.</w:t>
            </w:r>
          </w:p>
          <w:p w14:paraId="043A8EC0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pay due regard to the interests of customers and treat them fairly.</w:t>
            </w:r>
          </w:p>
          <w:p w14:paraId="55830BDA" w14:textId="77777777" w:rsidR="004B4465" w:rsidRPr="00227900" w:rsidRDefault="004B4465" w:rsidP="005B48A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27900">
              <w:rPr>
                <w:rFonts w:ascii="Arial" w:hAnsi="Arial" w:cs="Arial"/>
                <w:sz w:val="22"/>
                <w:szCs w:val="22"/>
                <w:lang w:eastAsia="en-GB"/>
              </w:rPr>
              <w:t>You must observe proper standards of market conduct.</w:t>
            </w:r>
          </w:p>
          <w:p w14:paraId="1F6A9B90" w14:textId="77777777" w:rsidR="00277B41" w:rsidRPr="00227900" w:rsidRDefault="00277B41" w:rsidP="004B4465">
            <w:pPr>
              <w:pStyle w:val="AmTrustBlack"/>
              <w:rPr>
                <w:rFonts w:cs="Arial"/>
                <w:color w:val="A6A6A6" w:themeColor="background1" w:themeShade="A6"/>
                <w:sz w:val="22"/>
                <w:szCs w:val="22"/>
                <w:lang w:eastAsia="en-GB"/>
              </w:rPr>
            </w:pPr>
          </w:p>
        </w:tc>
      </w:tr>
      <w:tr w:rsidR="000A1A25" w:rsidRPr="00227900" w14:paraId="416C4CE4" w14:textId="77777777" w:rsidTr="00C80956">
        <w:trPr>
          <w:trHeight w:val="624"/>
        </w:trPr>
        <w:tc>
          <w:tcPr>
            <w:tcW w:w="383" w:type="dxa"/>
            <w:vAlign w:val="center"/>
          </w:tcPr>
          <w:p w14:paraId="1605BE9D" w14:textId="77777777" w:rsidR="000A1A25" w:rsidRPr="00227900" w:rsidRDefault="000A1A25" w:rsidP="00945951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lastRenderedPageBreak/>
              <w:t>7.</w:t>
            </w:r>
          </w:p>
        </w:tc>
        <w:tc>
          <w:tcPr>
            <w:tcW w:w="2639" w:type="dxa"/>
            <w:vAlign w:val="center"/>
          </w:tcPr>
          <w:p w14:paraId="756E3771" w14:textId="77777777" w:rsidR="000A1A25" w:rsidRPr="00227900" w:rsidRDefault="000A1A25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  <w:p w14:paraId="2051E2EA" w14:textId="77777777" w:rsidR="000A1A25" w:rsidRPr="00227900" w:rsidRDefault="000A1A25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227900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Date Reviewed &amp; Agreed by Line Manager &amp; Post holder </w:t>
            </w:r>
          </w:p>
          <w:p w14:paraId="007ADE0A" w14:textId="77777777" w:rsidR="000A1A25" w:rsidRPr="00227900" w:rsidRDefault="000A1A25" w:rsidP="00B639EB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6187" w:type="dxa"/>
            <w:vAlign w:val="center"/>
          </w:tcPr>
          <w:p w14:paraId="78A90387" w14:textId="23FF8FBD" w:rsidR="00BA60F5" w:rsidRPr="00BA60F5" w:rsidRDefault="00BA60F5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A60F5">
              <w:rPr>
                <w:rFonts w:ascii="Arial" w:hAnsi="Arial" w:cs="Arial"/>
                <w:sz w:val="22"/>
                <w:szCs w:val="22"/>
                <w:lang w:eastAsia="en-GB"/>
              </w:rPr>
              <w:t xml:space="preserve">Line Manager:  </w:t>
            </w:r>
            <w:r w:rsidR="00FE249F">
              <w:rPr>
                <w:rFonts w:ascii="Arial" w:hAnsi="Arial" w:cs="Arial"/>
                <w:sz w:val="22"/>
                <w:szCs w:val="22"/>
                <w:lang w:eastAsia="en-GB"/>
              </w:rPr>
              <w:t>A Hayward</w:t>
            </w:r>
          </w:p>
          <w:p w14:paraId="04A4CD80" w14:textId="7569DEB5" w:rsidR="000A1A25" w:rsidRPr="00227900" w:rsidRDefault="000A1A25" w:rsidP="00BA60F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72CE9E4D" w14:textId="77777777" w:rsidR="00277B41" w:rsidRPr="00227900" w:rsidRDefault="00277B41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B9BD7E5" w14:textId="77777777" w:rsidR="000950D2" w:rsidRDefault="000950D2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24B669FF" w14:textId="77777777" w:rsidR="00227900" w:rsidRPr="00227900" w:rsidRDefault="00227900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050D3495" w14:textId="77777777" w:rsidR="00EF6AEF" w:rsidRPr="00227900" w:rsidRDefault="001C2690" w:rsidP="00DF03FD">
      <w:pPr>
        <w:pStyle w:val="AmTrustMainHeader"/>
        <w:jc w:val="both"/>
        <w:rPr>
          <w:rFonts w:cs="Arial"/>
          <w:b/>
          <w:sz w:val="22"/>
          <w:szCs w:val="22"/>
        </w:rPr>
      </w:pPr>
      <w:r w:rsidRPr="00227900">
        <w:rPr>
          <w:rFonts w:cs="Arial"/>
          <w:b/>
          <w:sz w:val="22"/>
          <w:szCs w:val="22"/>
        </w:rPr>
        <w:t>Position Overview</w:t>
      </w:r>
    </w:p>
    <w:p w14:paraId="66A6DC8B" w14:textId="77777777" w:rsidR="00DF03FD" w:rsidRPr="00227900" w:rsidRDefault="00DF03FD" w:rsidP="00DF03FD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6530D48C" w14:textId="68E2C9EF" w:rsidR="007E4B84" w:rsidRPr="00BA60F5" w:rsidRDefault="004229A6" w:rsidP="00BA60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Support the</w:t>
      </w:r>
      <w:r w:rsidR="00BA60F5" w:rsidRPr="00BA60F5">
        <w:rPr>
          <w:rFonts w:ascii="Arial" w:hAnsi="Arial" w:cs="Arial"/>
          <w:sz w:val="22"/>
          <w:szCs w:val="22"/>
          <w:lang w:eastAsia="en-GB"/>
        </w:rPr>
        <w:t xml:space="preserve"> underwriting performance of a proportion of CCPI’s insurance business. To underwrite within prescribed authority levels by analysing, evaluating and rating new, renewal and mid-term submissions, ensuring all processing and policy preparation is accurate and compliant</w:t>
      </w:r>
      <w:r w:rsidR="001119F3">
        <w:rPr>
          <w:rFonts w:ascii="Arial" w:hAnsi="Arial" w:cs="Arial"/>
          <w:sz w:val="22"/>
          <w:szCs w:val="22"/>
          <w:lang w:eastAsia="en-GB"/>
        </w:rPr>
        <w:t xml:space="preserve"> under the guidance of the line manager and </w:t>
      </w:r>
      <w:r w:rsidR="008B74D0">
        <w:rPr>
          <w:rFonts w:ascii="Arial" w:hAnsi="Arial" w:cs="Arial"/>
          <w:sz w:val="22"/>
          <w:szCs w:val="22"/>
          <w:lang w:eastAsia="en-GB"/>
        </w:rPr>
        <w:t>Chief Underwriting Officer</w:t>
      </w:r>
      <w:r w:rsidR="00BA60F5" w:rsidRPr="00BA60F5">
        <w:rPr>
          <w:rFonts w:ascii="Arial" w:hAnsi="Arial" w:cs="Arial"/>
          <w:sz w:val="22"/>
          <w:szCs w:val="22"/>
          <w:lang w:eastAsia="en-GB"/>
        </w:rPr>
        <w:t>.  Support the company strategy and objectives.</w:t>
      </w:r>
      <w:r w:rsidR="00BA60F5">
        <w:rPr>
          <w:rFonts w:ascii="Arial" w:hAnsi="Arial" w:cs="Arial"/>
          <w:sz w:val="22"/>
          <w:szCs w:val="22"/>
          <w:lang w:eastAsia="en-GB"/>
        </w:rPr>
        <w:t xml:space="preserve">  </w:t>
      </w:r>
    </w:p>
    <w:p w14:paraId="5A5FC82B" w14:textId="77777777" w:rsidR="00BA60F5" w:rsidRPr="00227900" w:rsidRDefault="00BA60F5" w:rsidP="00CE694C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1D56F4E0" w14:textId="77777777" w:rsidR="001C2690" w:rsidRPr="00227900" w:rsidRDefault="0019731B" w:rsidP="00DF03FD">
      <w:pPr>
        <w:pStyle w:val="AmTrustMainHeader"/>
        <w:jc w:val="both"/>
        <w:rPr>
          <w:rFonts w:cs="Arial"/>
          <w:b/>
          <w:sz w:val="22"/>
          <w:szCs w:val="22"/>
        </w:rPr>
      </w:pPr>
      <w:r w:rsidRPr="00227900">
        <w:rPr>
          <w:rFonts w:cs="Arial"/>
          <w:b/>
          <w:sz w:val="22"/>
          <w:szCs w:val="22"/>
        </w:rPr>
        <w:t>Essential Job Functions</w:t>
      </w:r>
      <w:r w:rsidR="001C2690" w:rsidRPr="00227900">
        <w:rPr>
          <w:rFonts w:cs="Arial"/>
          <w:b/>
          <w:sz w:val="22"/>
          <w:szCs w:val="22"/>
        </w:rPr>
        <w:t>:</w:t>
      </w:r>
    </w:p>
    <w:p w14:paraId="2BFCEC13" w14:textId="77777777" w:rsidR="007C0927" w:rsidRPr="00227900" w:rsidRDefault="007C0927" w:rsidP="00DF03FD">
      <w:pPr>
        <w:pStyle w:val="AmTrustMainHeader"/>
        <w:jc w:val="both"/>
        <w:rPr>
          <w:rFonts w:cs="Arial"/>
          <w:b/>
          <w:sz w:val="22"/>
          <w:szCs w:val="22"/>
        </w:rPr>
      </w:pPr>
    </w:p>
    <w:p w14:paraId="179E05C0" w14:textId="7777777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 xml:space="preserve">Awareness of and compliance with ethical, legal and social responsibilities as an employee, </w:t>
      </w:r>
    </w:p>
    <w:p w14:paraId="244F65E1" w14:textId="7777777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>Confidentiality maintained when appropriate.</w:t>
      </w:r>
    </w:p>
    <w:p w14:paraId="15042086" w14:textId="7777777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>Demonstrate high degree of loyalty to Company, its customers and objectives.</w:t>
      </w:r>
    </w:p>
    <w:p w14:paraId="5A608437" w14:textId="7777777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>Ensure all CCPI underwriting philosophies and procedures are followed according to Company and market conditions.</w:t>
      </w:r>
    </w:p>
    <w:p w14:paraId="43BD17C5" w14:textId="769EAE86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 xml:space="preserve">Ensure products are designed with the customer in mind, offer value for money, are </w:t>
      </w:r>
      <w:r>
        <w:rPr>
          <w:rFonts w:ascii="Arial" w:hAnsi="Arial" w:cs="Arial"/>
          <w:color w:val="000000" w:themeColor="text1"/>
          <w:sz w:val="22"/>
          <w:szCs w:val="22"/>
        </w:rPr>
        <w:t>fairly</w:t>
      </w:r>
      <w:r w:rsidRPr="00BA60F5">
        <w:rPr>
          <w:rFonts w:ascii="Arial" w:hAnsi="Arial" w:cs="Arial"/>
          <w:color w:val="000000" w:themeColor="text1"/>
          <w:sz w:val="22"/>
          <w:szCs w:val="22"/>
        </w:rPr>
        <w:t xml:space="preserve"> priced with suitable cover and are fully compliant with all key features presented and no unreasonable post-sale barriers</w:t>
      </w:r>
    </w:p>
    <w:p w14:paraId="4845C45F" w14:textId="394EC96D" w:rsidR="00BA60F5" w:rsidRPr="00622AFD" w:rsidRDefault="00D937BC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AFD">
        <w:rPr>
          <w:rFonts w:ascii="Arial" w:hAnsi="Arial" w:cs="Arial"/>
          <w:color w:val="000000" w:themeColor="text1"/>
          <w:sz w:val="22"/>
          <w:szCs w:val="22"/>
        </w:rPr>
        <w:t>Work with the line manager to identify</w:t>
      </w:r>
      <w:r w:rsidR="00BA60F5" w:rsidRPr="00622AFD">
        <w:rPr>
          <w:rFonts w:ascii="Arial" w:hAnsi="Arial" w:cs="Arial"/>
          <w:color w:val="000000" w:themeColor="text1"/>
          <w:sz w:val="22"/>
          <w:szCs w:val="22"/>
        </w:rPr>
        <w:t xml:space="preserve"> key individuals whose support and involvement is required to accomplish key tasks.</w:t>
      </w:r>
    </w:p>
    <w:p w14:paraId="378B4841" w14:textId="05043B8E" w:rsidR="00BA60F5" w:rsidRPr="00622AFD" w:rsidRDefault="00D937BC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AFD">
        <w:rPr>
          <w:rFonts w:ascii="Arial" w:hAnsi="Arial" w:cs="Arial"/>
          <w:color w:val="000000" w:themeColor="text1"/>
          <w:sz w:val="22"/>
          <w:szCs w:val="22"/>
        </w:rPr>
        <w:t xml:space="preserve">With the support of the line </w:t>
      </w:r>
      <w:r w:rsidR="00973533" w:rsidRPr="00622AFD">
        <w:rPr>
          <w:rFonts w:ascii="Arial" w:hAnsi="Arial" w:cs="Arial"/>
          <w:color w:val="000000" w:themeColor="text1"/>
          <w:sz w:val="22"/>
          <w:szCs w:val="22"/>
        </w:rPr>
        <w:t>manager,</w:t>
      </w:r>
      <w:r w:rsidR="00BA60F5" w:rsidRPr="00622AFD">
        <w:rPr>
          <w:rFonts w:ascii="Arial" w:hAnsi="Arial" w:cs="Arial"/>
          <w:color w:val="000000" w:themeColor="text1"/>
          <w:sz w:val="22"/>
          <w:szCs w:val="22"/>
        </w:rPr>
        <w:t xml:space="preserve"> establish relationships that will enable </w:t>
      </w:r>
      <w:r w:rsidRPr="00622AFD">
        <w:rPr>
          <w:rFonts w:ascii="Arial" w:hAnsi="Arial" w:cs="Arial"/>
          <w:color w:val="000000" w:themeColor="text1"/>
          <w:sz w:val="22"/>
          <w:szCs w:val="22"/>
        </w:rPr>
        <w:t>the jobholder</w:t>
      </w:r>
      <w:r w:rsidR="00BA60F5" w:rsidRPr="00622AFD">
        <w:rPr>
          <w:rFonts w:ascii="Arial" w:hAnsi="Arial" w:cs="Arial"/>
          <w:color w:val="000000" w:themeColor="text1"/>
          <w:sz w:val="22"/>
          <w:szCs w:val="22"/>
        </w:rPr>
        <w:t xml:space="preserve"> to call upon key individuals for information and/or support.</w:t>
      </w:r>
    </w:p>
    <w:p w14:paraId="755FB3FC" w14:textId="142D9D2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 xml:space="preserve">To liaise with administrator or customer to review pricing requests, make any suggestions necessary to improve the request from an underwriting </w:t>
      </w:r>
      <w:r>
        <w:rPr>
          <w:rFonts w:ascii="Arial" w:hAnsi="Arial" w:cs="Arial"/>
          <w:color w:val="000000" w:themeColor="text1"/>
          <w:sz w:val="22"/>
          <w:szCs w:val="22"/>
        </w:rPr>
        <w:t>perspective</w:t>
      </w:r>
      <w:r w:rsidRPr="00BA60F5">
        <w:rPr>
          <w:rFonts w:ascii="Arial" w:hAnsi="Arial" w:cs="Arial"/>
          <w:color w:val="000000" w:themeColor="text1"/>
          <w:sz w:val="22"/>
          <w:szCs w:val="22"/>
        </w:rPr>
        <w:t>, and then to provide all necessary information to CCPI’s Actuarial / Pricing Department to enable them to properly price the product.</w:t>
      </w:r>
    </w:p>
    <w:p w14:paraId="7388CA99" w14:textId="7777777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>To work with CCPI’s Actuarial / Pricing personnel to review their pricing calculations and to ensure that the prices calculated are appropriate in all respects for the products requested.</w:t>
      </w:r>
    </w:p>
    <w:p w14:paraId="61D139C1" w14:textId="7777777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>To respond to all internal and external underwriting and claims related queries relating to programmes and to involve other CCPI Departments (e.g. Claims or Actuarial / Pricing) as necessary before issuing a response.</w:t>
      </w:r>
    </w:p>
    <w:p w14:paraId="32A189CA" w14:textId="7ABD1A32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>To carry out a monthly review of underwriting performance on programmes and to identify in writing key movements arising each month and any action required as a result.</w:t>
      </w:r>
    </w:p>
    <w:p w14:paraId="7A2FDAB4" w14:textId="4BFB0CBA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 xml:space="preserve">To work with the Pricing / Actuarial Department to produce quarterly updates of the expected ultimate loss ratios on </w:t>
      </w:r>
      <w:r>
        <w:rPr>
          <w:rFonts w:ascii="Arial" w:hAnsi="Arial" w:cs="Arial"/>
          <w:color w:val="000000" w:themeColor="text1"/>
          <w:sz w:val="22"/>
          <w:szCs w:val="22"/>
        </w:rPr>
        <w:t>programmes within the area of responsibility</w:t>
      </w:r>
      <w:r w:rsidRPr="00BA60F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E620CE" w14:textId="06414BB5" w:rsidR="00BA60F5" w:rsidRPr="00BA60F5" w:rsidRDefault="00622AFD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AFD">
        <w:rPr>
          <w:rFonts w:ascii="Arial" w:hAnsi="Arial" w:cs="Arial"/>
          <w:color w:val="000000" w:themeColor="text1"/>
          <w:sz w:val="22"/>
          <w:szCs w:val="22"/>
        </w:rPr>
        <w:t xml:space="preserve">Work with the line manager to conduct </w:t>
      </w:r>
      <w:r w:rsidR="00BA60F5" w:rsidRPr="00622AFD">
        <w:rPr>
          <w:rFonts w:ascii="Arial" w:hAnsi="Arial" w:cs="Arial"/>
          <w:color w:val="000000" w:themeColor="text1"/>
          <w:sz w:val="22"/>
          <w:szCs w:val="22"/>
        </w:rPr>
        <w:t>annual reviews of programmes to ensure that any changes in customer requirements are identified and new premiums are calculated and communicated to the</w:t>
      </w:r>
      <w:r w:rsidR="00BA60F5" w:rsidRPr="00BA60F5">
        <w:rPr>
          <w:rFonts w:ascii="Arial" w:hAnsi="Arial" w:cs="Arial"/>
          <w:color w:val="000000" w:themeColor="text1"/>
          <w:sz w:val="22"/>
          <w:szCs w:val="22"/>
        </w:rPr>
        <w:t xml:space="preserve"> customer / administrator at least 60 days before the review date.</w:t>
      </w:r>
    </w:p>
    <w:p w14:paraId="4F854A96" w14:textId="7777777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To maintain a constant focus on the underwriting profitability of all programmes with a view of achieving company profit objectives (subject to any decision having been made to accept a lower return on individual programmes), carrying out appropriate remedial action where required. </w:t>
      </w:r>
    </w:p>
    <w:p w14:paraId="478B4ED5" w14:textId="7777777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 xml:space="preserve">To ensure that all direct insurance contracts/booklets and all reinsurance inwards and outwards contracts programmes are prepared and </w:t>
      </w:r>
      <w:proofErr w:type="spellStart"/>
      <w:r w:rsidRPr="00BA60F5">
        <w:rPr>
          <w:rFonts w:ascii="Arial" w:hAnsi="Arial" w:cs="Arial"/>
          <w:color w:val="000000" w:themeColor="text1"/>
          <w:sz w:val="22"/>
          <w:szCs w:val="22"/>
        </w:rPr>
        <w:t>finalised</w:t>
      </w:r>
      <w:proofErr w:type="spellEnd"/>
      <w:r w:rsidRPr="00BA60F5">
        <w:rPr>
          <w:rFonts w:ascii="Arial" w:hAnsi="Arial" w:cs="Arial"/>
          <w:color w:val="000000" w:themeColor="text1"/>
          <w:sz w:val="22"/>
          <w:szCs w:val="22"/>
        </w:rPr>
        <w:t xml:space="preserve"> on an efficient and timely basis within a maximum of 14 days of launch and ensure that such contracts comply with company standards.</w:t>
      </w:r>
    </w:p>
    <w:p w14:paraId="465C2243" w14:textId="77777777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>To identify improvements in systems and procedures both within CCPI and its partners.</w:t>
      </w:r>
    </w:p>
    <w:p w14:paraId="579B38DC" w14:textId="3F646247" w:rsid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>To ensure that assigned equipment is operated in a way that ensures data confidentiality, adequate data back-up, and adherence to any other standards that may be applicable.</w:t>
      </w:r>
    </w:p>
    <w:p w14:paraId="47F1166E" w14:textId="34F95A20" w:rsidR="00BA60F5" w:rsidRDefault="00BA60F5" w:rsidP="00D14C22">
      <w:pPr>
        <w:numPr>
          <w:ilvl w:val="0"/>
          <w:numId w:val="24"/>
        </w:num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 xml:space="preserve">Other duties may be assigned </w:t>
      </w:r>
      <w:r w:rsidRPr="00BA60F5">
        <w:rPr>
          <w:rFonts w:ascii="Arial" w:hAnsi="Arial" w:cs="Arial"/>
          <w:sz w:val="22"/>
          <w:szCs w:val="22"/>
        </w:rPr>
        <w:t xml:space="preserve">in order to meet the on-going needs of the </w:t>
      </w:r>
      <w:r>
        <w:rPr>
          <w:rFonts w:ascii="Arial" w:hAnsi="Arial" w:cs="Arial"/>
          <w:sz w:val="22"/>
          <w:szCs w:val="22"/>
        </w:rPr>
        <w:t>organization</w:t>
      </w:r>
    </w:p>
    <w:p w14:paraId="60C24B8A" w14:textId="77777777" w:rsidR="0050147B" w:rsidRPr="00227900" w:rsidRDefault="0050147B" w:rsidP="0050147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8D8DBF4" w14:textId="77777777" w:rsidR="00B4213B" w:rsidRPr="00227900" w:rsidRDefault="004E2278" w:rsidP="00A53F63">
      <w:pPr>
        <w:spacing w:after="200" w:line="276" w:lineRule="auto"/>
        <w:rPr>
          <w:rFonts w:ascii="Arial" w:hAnsi="Arial" w:cs="Arial"/>
          <w:b/>
          <w:color w:val="36578C"/>
          <w:sz w:val="22"/>
          <w:szCs w:val="22"/>
        </w:rPr>
      </w:pPr>
      <w:r w:rsidRPr="00227900">
        <w:rPr>
          <w:rFonts w:ascii="Arial" w:hAnsi="Arial" w:cs="Arial"/>
          <w:b/>
          <w:color w:val="36578C"/>
          <w:sz w:val="22"/>
          <w:szCs w:val="22"/>
        </w:rPr>
        <w:t>Qualifications</w:t>
      </w:r>
      <w:r w:rsidR="00B71E32" w:rsidRPr="00227900">
        <w:rPr>
          <w:rFonts w:ascii="Arial" w:hAnsi="Arial" w:cs="Arial"/>
          <w:b/>
          <w:color w:val="36578C"/>
          <w:sz w:val="22"/>
          <w:szCs w:val="22"/>
        </w:rPr>
        <w:t xml:space="preserve">, </w:t>
      </w:r>
      <w:r w:rsidRPr="00227900">
        <w:rPr>
          <w:rFonts w:ascii="Arial" w:hAnsi="Arial" w:cs="Arial"/>
          <w:b/>
          <w:color w:val="36578C"/>
          <w:sz w:val="22"/>
          <w:szCs w:val="22"/>
        </w:rPr>
        <w:t>Experience</w:t>
      </w:r>
      <w:r w:rsidR="00B71E32" w:rsidRPr="00227900">
        <w:rPr>
          <w:rFonts w:ascii="Arial" w:hAnsi="Arial" w:cs="Arial"/>
          <w:b/>
          <w:color w:val="36578C"/>
          <w:sz w:val="22"/>
          <w:szCs w:val="22"/>
        </w:rPr>
        <w:t>, Competence</w:t>
      </w:r>
      <w:r w:rsidR="00A53F63" w:rsidRPr="00227900">
        <w:rPr>
          <w:rFonts w:ascii="Arial" w:hAnsi="Arial" w:cs="Arial"/>
          <w:b/>
          <w:color w:val="36578C"/>
          <w:sz w:val="22"/>
          <w:szCs w:val="22"/>
        </w:rPr>
        <w:t>:</w:t>
      </w:r>
    </w:p>
    <w:p w14:paraId="527AEBEB" w14:textId="77777777" w:rsidR="00B4213B" w:rsidRPr="00227900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7AEC3AAC" w14:textId="6FD447D4" w:rsidR="00BA60F5" w:rsidRPr="00BA60F5" w:rsidRDefault="00BA60F5" w:rsidP="00BA60F5">
      <w:pPr>
        <w:numPr>
          <w:ilvl w:val="0"/>
          <w:numId w:val="24"/>
        </w:num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0F5">
        <w:rPr>
          <w:rFonts w:ascii="Arial" w:hAnsi="Arial" w:cs="Arial"/>
          <w:color w:val="000000" w:themeColor="text1"/>
          <w:sz w:val="22"/>
          <w:szCs w:val="22"/>
        </w:rPr>
        <w:t xml:space="preserve">Bachelor’s Degree in business, management, finance or related area </w:t>
      </w:r>
      <w:r w:rsidR="00D91395">
        <w:rPr>
          <w:rFonts w:ascii="Arial" w:hAnsi="Arial" w:cs="Arial"/>
          <w:color w:val="000000" w:themeColor="text1"/>
          <w:sz w:val="22"/>
          <w:szCs w:val="22"/>
        </w:rPr>
        <w:t>desirable</w:t>
      </w:r>
      <w:r w:rsidRPr="00BA60F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8E5F3C" w14:textId="1ABF735B" w:rsidR="000F4F50" w:rsidRPr="004311B3" w:rsidRDefault="009C3E7D" w:rsidP="004311B3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C3E7D">
        <w:rPr>
          <w:rFonts w:ascii="Arial" w:hAnsi="Arial" w:cs="Arial"/>
          <w:color w:val="000000" w:themeColor="text1"/>
          <w:sz w:val="22"/>
          <w:szCs w:val="22"/>
        </w:rPr>
        <w:t>Certificate in Insurance or progre</w:t>
      </w:r>
      <w:r w:rsidR="004311B3">
        <w:rPr>
          <w:rFonts w:ascii="Arial" w:hAnsi="Arial" w:cs="Arial"/>
          <w:color w:val="000000" w:themeColor="text1"/>
          <w:sz w:val="22"/>
          <w:szCs w:val="22"/>
        </w:rPr>
        <w:t>ss towards Diploma in Insurance</w:t>
      </w:r>
      <w:r w:rsidR="00BA60F5" w:rsidRPr="004311B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91395" w:rsidRPr="004311B3">
        <w:rPr>
          <w:rFonts w:ascii="Arial" w:hAnsi="Arial" w:cs="Arial"/>
          <w:color w:val="000000" w:themeColor="text1"/>
          <w:sz w:val="22"/>
          <w:szCs w:val="22"/>
        </w:rPr>
        <w:t>desirable</w:t>
      </w:r>
      <w:r w:rsidR="00BA60F5" w:rsidRPr="004311B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DB8541" w14:textId="06188F9F" w:rsidR="009C3E7D" w:rsidRDefault="009C3E7D" w:rsidP="00BA60F5">
      <w:pPr>
        <w:numPr>
          <w:ilvl w:val="0"/>
          <w:numId w:val="24"/>
        </w:num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 level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Maths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Grade C or better </w:t>
      </w:r>
      <w:r w:rsidR="00D91395">
        <w:rPr>
          <w:rFonts w:ascii="Arial" w:hAnsi="Arial" w:cs="Arial"/>
          <w:color w:val="000000" w:themeColor="text1"/>
          <w:sz w:val="22"/>
          <w:szCs w:val="22"/>
        </w:rPr>
        <w:t>desirable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629B24" w14:textId="77E662C1" w:rsidR="00BA60F5" w:rsidRPr="00BA60F5" w:rsidRDefault="00BA60F5" w:rsidP="00BA60F5">
      <w:pPr>
        <w:autoSpaceDE w:val="0"/>
        <w:autoSpaceDN w:val="0"/>
        <w:adjustRightInd w:val="0"/>
        <w:spacing w:after="8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678C89" w14:textId="77777777" w:rsidR="00BA60F5" w:rsidRPr="00227900" w:rsidRDefault="00BA60F5" w:rsidP="000F4F50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14E87E4E" w14:textId="77777777" w:rsidR="005E098E" w:rsidRPr="00227900" w:rsidRDefault="00B4213B" w:rsidP="000F4F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  <w:lang w:val="en" w:eastAsia="en-GB"/>
        </w:rPr>
        <w:t>Experience</w:t>
      </w:r>
      <w:r w:rsidR="004B4465" w:rsidRPr="00227900">
        <w:rPr>
          <w:rFonts w:ascii="Arial" w:hAnsi="Arial" w:cs="Arial"/>
          <w:b/>
          <w:sz w:val="22"/>
          <w:szCs w:val="22"/>
          <w:u w:val="single"/>
          <w:lang w:val="en" w:eastAsia="en-GB"/>
        </w:rPr>
        <w:t xml:space="preserve"> </w:t>
      </w:r>
    </w:p>
    <w:p w14:paraId="24BAD1AF" w14:textId="0E4D8E82" w:rsidR="00B71E32" w:rsidRPr="00BA60F5" w:rsidRDefault="00BA60F5" w:rsidP="00DF03FD">
      <w:p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Minimum of </w:t>
      </w:r>
      <w:r w:rsidR="009C3E7D">
        <w:rPr>
          <w:rFonts w:ascii="Arial" w:eastAsiaTheme="minorHAnsi" w:hAnsi="Arial" w:cs="Arial"/>
          <w:color w:val="000000"/>
          <w:sz w:val="22"/>
          <w:szCs w:val="22"/>
          <w:lang w:val="en-GB"/>
        </w:rPr>
        <w:t>5</w:t>
      </w:r>
      <w:r w:rsidRPr="00BA60F5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years underwriting </w:t>
      </w:r>
      <w:r w:rsidR="009C3E7D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or claims </w:t>
      </w:r>
      <w:r w:rsidRPr="00BA60F5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experience in an underwriting or reinsurance environment is essential.  </w:t>
      </w:r>
    </w:p>
    <w:p w14:paraId="5E0C5CF1" w14:textId="77777777" w:rsidR="0090670F" w:rsidRPr="0090670F" w:rsidRDefault="0090670F" w:rsidP="0090670F">
      <w:p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>Proven experience in:</w:t>
      </w:r>
    </w:p>
    <w:p w14:paraId="1B567334" w14:textId="7DEFF6F6" w:rsidR="0090670F" w:rsidRPr="0090670F" w:rsidRDefault="001119F3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D</w:t>
      </w:r>
      <w:r w:rsidR="0090670F"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ecision making at class underwriter level; </w:t>
      </w:r>
      <w:r w:rsidR="00D91395">
        <w:rPr>
          <w:rFonts w:ascii="Arial" w:eastAsiaTheme="minorHAnsi" w:hAnsi="Arial" w:cs="Arial"/>
          <w:color w:val="000000"/>
          <w:sz w:val="22"/>
          <w:szCs w:val="22"/>
          <w:lang w:val="en-GB"/>
        </w:rPr>
        <w:t>desirable</w:t>
      </w:r>
    </w:p>
    <w:p w14:paraId="13AEB153" w14:textId="748A7F03" w:rsidR="0090670F" w:rsidRPr="0090670F" w:rsidRDefault="001119F3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A</w:t>
      </w:r>
      <w:r w:rsidR="0090670F"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nalysis of insurance trends and portfolios </w:t>
      </w:r>
      <w:r w:rsidR="00D91395">
        <w:rPr>
          <w:rFonts w:ascii="Arial" w:eastAsiaTheme="minorHAnsi" w:hAnsi="Arial" w:cs="Arial"/>
          <w:color w:val="000000"/>
          <w:sz w:val="22"/>
          <w:szCs w:val="22"/>
          <w:lang w:val="en-GB"/>
        </w:rPr>
        <w:t>desirable</w:t>
      </w:r>
    </w:p>
    <w:p w14:paraId="2FD56757" w14:textId="292478B4" w:rsidR="0090670F" w:rsidRPr="0090670F" w:rsidRDefault="0090670F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>Operational implementation of underwriting decisions; desirable</w:t>
      </w:r>
    </w:p>
    <w:p w14:paraId="28EA3233" w14:textId="6C62F176" w:rsidR="0090670F" w:rsidRPr="0090670F" w:rsidRDefault="0090670F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Financial acumen relating to insurance performance on an underwriting and financial year basis; </w:t>
      </w:r>
      <w:r w:rsidR="00D91395">
        <w:rPr>
          <w:rFonts w:ascii="Arial" w:eastAsiaTheme="minorHAnsi" w:hAnsi="Arial" w:cs="Arial"/>
          <w:color w:val="000000"/>
          <w:sz w:val="22"/>
          <w:szCs w:val="22"/>
          <w:lang w:val="en-GB"/>
        </w:rPr>
        <w:t>desirable</w:t>
      </w:r>
    </w:p>
    <w:p w14:paraId="3B948DD8" w14:textId="74B4E229" w:rsidR="0090670F" w:rsidRPr="0090670F" w:rsidRDefault="0090670F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Risk analysis understanding management information relating to performance at a granular level; </w:t>
      </w:r>
      <w:r w:rsidR="00D91395">
        <w:rPr>
          <w:rFonts w:ascii="Arial" w:eastAsiaTheme="minorHAnsi" w:hAnsi="Arial" w:cs="Arial"/>
          <w:color w:val="000000"/>
          <w:sz w:val="22"/>
          <w:szCs w:val="22"/>
          <w:lang w:val="en-GB"/>
        </w:rPr>
        <w:t>desirable</w:t>
      </w:r>
    </w:p>
    <w:p w14:paraId="4D125D9A" w14:textId="0FF5BB5A" w:rsidR="0090670F" w:rsidRPr="0090670F" w:rsidRDefault="0090670F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Verbal &amp; numerical reasoning skills in top 2 deciles; </w:t>
      </w:r>
      <w:r w:rsidR="00D91395"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>desirable</w:t>
      </w:r>
    </w:p>
    <w:p w14:paraId="6EED6288" w14:textId="354CD743" w:rsidR="00BA60F5" w:rsidRDefault="0090670F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MS Office competence essential  </w:t>
      </w:r>
    </w:p>
    <w:p w14:paraId="244DFFF2" w14:textId="77777777" w:rsidR="0090670F" w:rsidRPr="00BA60F5" w:rsidRDefault="0090670F" w:rsidP="00DF03FD">
      <w:p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</w:p>
    <w:p w14:paraId="61E2275E" w14:textId="77777777" w:rsidR="00BA60F5" w:rsidRPr="00227900" w:rsidRDefault="00BA60F5" w:rsidP="00DF03FD">
      <w:pPr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2E0AE331" w14:textId="77777777" w:rsidR="000F4F50" w:rsidRPr="00227900" w:rsidRDefault="00264EC0" w:rsidP="00271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</w:rPr>
        <w:t>Functional/Technical</w:t>
      </w:r>
      <w:r w:rsidR="00B71E32" w:rsidRPr="00227900">
        <w:rPr>
          <w:rFonts w:ascii="Arial" w:hAnsi="Arial" w:cs="Arial"/>
          <w:b/>
          <w:sz w:val="22"/>
          <w:szCs w:val="22"/>
          <w:u w:val="single"/>
        </w:rPr>
        <w:t xml:space="preserve"> Competencies </w:t>
      </w:r>
    </w:p>
    <w:p w14:paraId="544CA391" w14:textId="22D68B14" w:rsidR="0090670F" w:rsidRPr="0090670F" w:rsidRDefault="0090670F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Able to </w:t>
      </w:r>
      <w:r w:rsidR="001119F3">
        <w:rPr>
          <w:rFonts w:ascii="Arial" w:eastAsiaTheme="minorHAnsi" w:hAnsi="Arial" w:cs="Arial"/>
          <w:color w:val="000000"/>
          <w:sz w:val="22"/>
          <w:szCs w:val="22"/>
          <w:lang w:val="en-GB"/>
        </w:rPr>
        <w:t>work with Underwriting &amp; Actuarial colleagues to review pricing calculations and implement agreed pricing structures alongside agreed policy terms and conditions.</w:t>
      </w:r>
    </w:p>
    <w:p w14:paraId="1B2BD8EE" w14:textId="12E24C1D" w:rsidR="0090670F" w:rsidRPr="0090670F" w:rsidRDefault="001119F3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Underwrite and price risk.</w:t>
      </w:r>
    </w:p>
    <w:p w14:paraId="072FD5F2" w14:textId="14E346AF" w:rsidR="0090670F" w:rsidRPr="0090670F" w:rsidRDefault="0090670F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>Understand the impact of customer behaviou</w:t>
      </w:r>
      <w:r w:rsidR="001119F3">
        <w:rPr>
          <w:rFonts w:ascii="Arial" w:eastAsiaTheme="minorHAnsi" w:hAnsi="Arial" w:cs="Arial"/>
          <w:color w:val="000000"/>
          <w:sz w:val="22"/>
          <w:szCs w:val="22"/>
          <w:lang w:val="en-GB"/>
        </w:rPr>
        <w:t>r on performance.</w:t>
      </w:r>
    </w:p>
    <w:p w14:paraId="512F6979" w14:textId="6048484D" w:rsidR="0090670F" w:rsidRPr="0090670F" w:rsidRDefault="0090670F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>Understand the different aspects of risk selection and how they are inf</w:t>
      </w:r>
      <w:r w:rsidR="001119F3">
        <w:rPr>
          <w:rFonts w:ascii="Arial" w:eastAsiaTheme="minorHAnsi" w:hAnsi="Arial" w:cs="Arial"/>
          <w:color w:val="000000"/>
          <w:sz w:val="22"/>
          <w:szCs w:val="22"/>
          <w:lang w:val="en-GB"/>
        </w:rPr>
        <w:t>luence by distribution channels.</w:t>
      </w:r>
    </w:p>
    <w:p w14:paraId="22EE2884" w14:textId="49069871" w:rsidR="0090670F" w:rsidRDefault="001119F3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Understand</w:t>
      </w:r>
      <w:r w:rsidR="0090670F"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technical insurance matters relating to policy terms and conditions. </w:t>
      </w:r>
    </w:p>
    <w:p w14:paraId="683AC0C6" w14:textId="0051C9DD" w:rsidR="003315F1" w:rsidRPr="0090670F" w:rsidRDefault="00BC39CC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Understand</w:t>
      </w:r>
      <w:r w:rsidR="003315F1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insurance and reinsurance contracts</w:t>
      </w:r>
      <w:r w:rsidR="001119F3">
        <w:rPr>
          <w:rFonts w:ascii="Arial" w:eastAsiaTheme="minorHAnsi" w:hAnsi="Arial" w:cs="Arial"/>
          <w:color w:val="000000"/>
          <w:sz w:val="22"/>
          <w:szCs w:val="22"/>
          <w:lang w:val="en-GB"/>
        </w:rPr>
        <w:t>.</w:t>
      </w:r>
    </w:p>
    <w:p w14:paraId="72BAA69D" w14:textId="37C18D1C" w:rsidR="000F4F50" w:rsidRDefault="001119F3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Understand</w:t>
      </w:r>
      <w:r w:rsidR="0090670F"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market regulation</w:t>
      </w: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in the UK </w:t>
      </w:r>
      <w:r w:rsidR="0090670F"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in order to understand </w:t>
      </w:r>
      <w:r w:rsidR="00A639E0">
        <w:rPr>
          <w:rFonts w:ascii="Arial" w:eastAsiaTheme="minorHAnsi" w:hAnsi="Arial" w:cs="Arial"/>
          <w:color w:val="000000"/>
          <w:sz w:val="22"/>
          <w:szCs w:val="22"/>
          <w:lang w:val="en-GB"/>
        </w:rPr>
        <w:t>its</w:t>
      </w:r>
      <w:r w:rsidR="0090670F" w:rsidRPr="0090670F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impact on the business.</w:t>
      </w:r>
    </w:p>
    <w:p w14:paraId="43C21D15" w14:textId="41600830" w:rsidR="00E3233C" w:rsidRDefault="00E3233C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Understand core business processes.</w:t>
      </w:r>
    </w:p>
    <w:p w14:paraId="57CF4D7C" w14:textId="10C4EF56" w:rsidR="00A639E0" w:rsidRDefault="00A639E0" w:rsidP="0090670F">
      <w:pPr>
        <w:pStyle w:val="ListParagraph"/>
        <w:numPr>
          <w:ilvl w:val="0"/>
          <w:numId w:val="27"/>
        </w:numPr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n-GB"/>
        </w:rPr>
        <w:t>Willing to study for professional qualifications</w:t>
      </w:r>
    </w:p>
    <w:p w14:paraId="76AFEA3E" w14:textId="55BA4B27" w:rsidR="001C4F36" w:rsidRPr="001C4F36" w:rsidRDefault="002250F1" w:rsidP="001C4F36">
      <w:pPr>
        <w:pStyle w:val="ListParagraph"/>
        <w:numPr>
          <w:ilvl w:val="0"/>
          <w:numId w:val="27"/>
        </w:numPr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  <w:r w:rsidRPr="001C4F36">
        <w:rPr>
          <w:rFonts w:ascii="Arial" w:eastAsiaTheme="minorHAnsi" w:hAnsi="Arial" w:cs="Arial"/>
          <w:color w:val="000000"/>
          <w:sz w:val="22"/>
          <w:szCs w:val="22"/>
          <w:lang w:val="en-GB"/>
        </w:rPr>
        <w:lastRenderedPageBreak/>
        <w:t>Operate in accordance with</w:t>
      </w:r>
      <w:r w:rsidR="001119F3" w:rsidRPr="001C4F36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the Underwriting Standards and Controls.</w:t>
      </w:r>
      <w:r w:rsidR="001C4F36" w:rsidRPr="001C4F36">
        <w:t xml:space="preserve"> </w:t>
      </w:r>
      <w:r w:rsidR="001C4F36" w:rsidRPr="001C4F36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Supporting the Head of Underwriting through the review and administration of core underwriting processes, such as the Risk Recording Register. </w:t>
      </w:r>
    </w:p>
    <w:p w14:paraId="1C27003E" w14:textId="5A2210CE" w:rsidR="001119F3" w:rsidRPr="001C4F36" w:rsidRDefault="001119F3" w:rsidP="001C4F36">
      <w:pPr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9E66CE" w:rsidRPr="00227900" w14:paraId="484191A1" w14:textId="77777777" w:rsidTr="00AD4C06">
        <w:trPr>
          <w:trHeight w:val="99"/>
        </w:trPr>
        <w:tc>
          <w:tcPr>
            <w:tcW w:w="9210" w:type="dxa"/>
          </w:tcPr>
          <w:p w14:paraId="4BDABF51" w14:textId="77777777" w:rsidR="000F4F50" w:rsidRPr="00227900" w:rsidRDefault="000F4F50" w:rsidP="00AD4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EA631D" w14:textId="4E6C5F8D" w:rsidR="000F4F50" w:rsidRPr="00227900" w:rsidRDefault="00714032" w:rsidP="00AD4C06">
            <w:pPr>
              <w:jc w:val="both"/>
              <w:rPr>
                <w:rFonts w:ascii="Arial" w:eastAsiaTheme="minorHAnsi" w:hAnsi="Arial" w:cs="Arial"/>
                <w:bCs/>
                <w:i/>
                <w:color w:val="BFBFBF" w:themeColor="background1" w:themeShade="BF"/>
                <w:sz w:val="22"/>
                <w:szCs w:val="22"/>
                <w:u w:val="single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Core </w:t>
            </w:r>
            <w:r w:rsidR="00885D9F" w:rsidRPr="00227900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AmTrust </w:t>
            </w:r>
            <w:r w:rsidRPr="00227900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Behavioural &amp; Professional </w:t>
            </w: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u w:val="single"/>
                <w:lang w:val="en-GB"/>
              </w:rPr>
              <w:t xml:space="preserve">Competencies </w:t>
            </w:r>
          </w:p>
          <w:p w14:paraId="37E91D76" w14:textId="77777777" w:rsidR="000F4F50" w:rsidRPr="00227900" w:rsidRDefault="000F4F50" w:rsidP="00AD4C06">
            <w:pPr>
              <w:jc w:val="both"/>
              <w:rPr>
                <w:rFonts w:ascii="Arial" w:eastAsiaTheme="minorHAnsi" w:hAnsi="Arial" w:cs="Arial"/>
                <w:bCs/>
                <w:i/>
                <w:color w:val="BFBFBF" w:themeColor="background1" w:themeShade="BF"/>
                <w:sz w:val="22"/>
                <w:szCs w:val="22"/>
                <w:u w:val="single"/>
                <w:lang w:val="en-GB"/>
              </w:rPr>
            </w:pPr>
          </w:p>
          <w:p w14:paraId="051C0E1D" w14:textId="77777777" w:rsidR="00450C62" w:rsidRPr="00227900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Results Driven: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205624A3" w14:textId="77777777" w:rsidR="00450C62" w:rsidRPr="00227900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23C83A3D" w14:textId="77777777" w:rsidR="00450C62" w:rsidRPr="00227900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Adaptable &amp; Open to Change: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536EF267" w14:textId="77777777" w:rsidR="00450C62" w:rsidRPr="00227900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625634C1" w14:textId="77777777" w:rsidR="00450C62" w:rsidRPr="00227900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Relationship Management &amp; &amp; Customer Focus: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that everything that they do complies with all Treating Customers Fairly (TCF) principles.</w:t>
            </w:r>
          </w:p>
          <w:p w14:paraId="2032BA10" w14:textId="77777777" w:rsidR="00450C62" w:rsidRPr="00227900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5518CB82" w14:textId="77777777" w:rsidR="00450C62" w:rsidRPr="00227900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Risk Management: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      </w:r>
          </w:p>
          <w:p w14:paraId="33440FF2" w14:textId="77777777" w:rsidR="00450C62" w:rsidRPr="00227900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B42A15" w:rsidRPr="00227900" w14:paraId="4C73C16D" w14:textId="77777777" w:rsidTr="00F66A0B">
              <w:trPr>
                <w:trHeight w:val="99"/>
              </w:trPr>
              <w:tc>
                <w:tcPr>
                  <w:tcW w:w="9210" w:type="dxa"/>
                </w:tcPr>
                <w:p w14:paraId="552488F6" w14:textId="77777777" w:rsidR="00874271" w:rsidRPr="00227900" w:rsidRDefault="000F4F50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 w:rsidRPr="00227900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Collaboration: </w:t>
                  </w:r>
                  <w:r w:rsidRPr="00227900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      </w:r>
                </w:p>
                <w:p w14:paraId="75A71B3B" w14:textId="77777777" w:rsidR="00874271" w:rsidRPr="00227900" w:rsidRDefault="00874271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</w:pPr>
                </w:p>
                <w:p w14:paraId="26CCACC8" w14:textId="77777777" w:rsidR="00874271" w:rsidRPr="00227900" w:rsidRDefault="000F4F50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 w:rsidRPr="00227900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Continuing Professional Development: </w:t>
                  </w:r>
                  <w:r w:rsidRPr="00227900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      </w:r>
                </w:p>
                <w:p w14:paraId="150D425C" w14:textId="77777777" w:rsidR="00874271" w:rsidRPr="00227900" w:rsidRDefault="00874271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8B784C3" w14:textId="77777777" w:rsidR="00874271" w:rsidRPr="00227900" w:rsidRDefault="00885D9F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</w:pPr>
                  <w:r w:rsidRPr="0022790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AmTrust </w:t>
                  </w:r>
                  <w:r w:rsidR="000F4F50" w:rsidRPr="0022790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Values: </w:t>
                  </w:r>
                  <w:r w:rsidR="000F4F50" w:rsidRPr="00227900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 xml:space="preserve">Able to demonstrate and role model </w:t>
                  </w:r>
                  <w:r w:rsidRPr="00227900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 xml:space="preserve">AmTrust’s </w:t>
                  </w:r>
                  <w:r w:rsidR="000F4F50" w:rsidRPr="00227900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>values: Excellence, Innovation, Integrity, Responsibility, Inclusion and Teamwork.</w:t>
                  </w:r>
                </w:p>
                <w:p w14:paraId="736CEF4C" w14:textId="77777777" w:rsidR="00874271" w:rsidRPr="00227900" w:rsidRDefault="00874271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5253B3C" w14:textId="77777777" w:rsidR="00874271" w:rsidRPr="00227900" w:rsidRDefault="000F4F50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7900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Conduct Rules:</w:t>
                  </w:r>
                  <w:r w:rsidRPr="00227900">
                    <w:rPr>
                      <w:rFonts w:ascii="Arial" w:hAnsi="Arial" w:cs="Arial"/>
                      <w:sz w:val="22"/>
                      <w:szCs w:val="22"/>
                    </w:rPr>
                    <w:t xml:space="preserve"> Acts at all times in accordance with the Conduct Rules (</w:t>
                  </w:r>
                  <w:r w:rsidR="004B4465" w:rsidRPr="00227900">
                    <w:rPr>
                      <w:rFonts w:ascii="Arial" w:hAnsi="Arial" w:cs="Arial"/>
                      <w:sz w:val="22"/>
                      <w:szCs w:val="22"/>
                    </w:rPr>
                    <w:t>as set out above)</w:t>
                  </w:r>
                </w:p>
                <w:p w14:paraId="705E33C0" w14:textId="77777777" w:rsidR="00874271" w:rsidRPr="00227900" w:rsidRDefault="00874271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color w:val="BFBFBF" w:themeColor="background1" w:themeShade="BF"/>
                      <w:sz w:val="22"/>
                      <w:szCs w:val="22"/>
                      <w:lang w:val="en-GB"/>
                    </w:rPr>
                  </w:pPr>
                </w:p>
                <w:p w14:paraId="68F44D7A" w14:textId="77777777" w:rsidR="006A138A" w:rsidRPr="00227900" w:rsidRDefault="006A138A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en-GB"/>
                    </w:rPr>
                  </w:pPr>
                </w:p>
                <w:p w14:paraId="7F4D1D8E" w14:textId="77777777" w:rsidR="00417379" w:rsidRPr="00227900" w:rsidRDefault="00417379" w:rsidP="00B86B0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0FD061B8" w14:textId="77777777" w:rsidR="009E66CE" w:rsidRPr="00227900" w:rsidRDefault="009E66CE" w:rsidP="00AD4C0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67CB9C3" w14:textId="77777777" w:rsidR="00277B41" w:rsidRPr="00227900" w:rsidRDefault="00277B41" w:rsidP="00AD4C06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277B41" w:rsidRPr="00227900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100C" w14:textId="77777777" w:rsidR="00202265" w:rsidRDefault="00202265" w:rsidP="00BC6F89">
      <w:r>
        <w:separator/>
      </w:r>
    </w:p>
  </w:endnote>
  <w:endnote w:type="continuationSeparator" w:id="0">
    <w:p w14:paraId="746465D7" w14:textId="77777777" w:rsidR="00202265" w:rsidRDefault="00202265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15F9" w14:textId="77777777" w:rsidR="00202265" w:rsidRDefault="00202265" w:rsidP="00BC6F89">
      <w:r>
        <w:separator/>
      </w:r>
    </w:p>
  </w:footnote>
  <w:footnote w:type="continuationSeparator" w:id="0">
    <w:p w14:paraId="7E448CA6" w14:textId="77777777" w:rsidR="00202265" w:rsidRDefault="00202265" w:rsidP="00BC6F89">
      <w:r>
        <w:continuationSeparator/>
      </w:r>
    </w:p>
  </w:footnote>
  <w:footnote w:id="1">
    <w:p w14:paraId="1AFB3A11" w14:textId="77777777" w:rsidR="00895FEF" w:rsidRPr="00583078" w:rsidRDefault="00895FEF" w:rsidP="00583078">
      <w:pPr>
        <w:pStyle w:val="FootnoteText"/>
        <w:jc w:val="both"/>
        <w:rPr>
          <w:rFonts w:ascii="Arial" w:hAnsi="Arial" w:cs="Arial"/>
          <w:sz w:val="16"/>
          <w:szCs w:val="16"/>
          <w:lang w:val="en-GB"/>
        </w:rPr>
      </w:pPr>
      <w:r w:rsidRPr="00583078">
        <w:rPr>
          <w:rStyle w:val="FootnoteReference"/>
          <w:rFonts w:ascii="Arial" w:hAnsi="Arial" w:cs="Arial"/>
          <w:sz w:val="16"/>
          <w:szCs w:val="16"/>
        </w:rPr>
        <w:footnoteRef/>
      </w:r>
      <w:r w:rsidRPr="00583078">
        <w:rPr>
          <w:rFonts w:ascii="Arial" w:hAnsi="Arial" w:cs="Arial"/>
          <w:sz w:val="16"/>
          <w:szCs w:val="16"/>
        </w:rPr>
        <w:t xml:space="preserve"> </w:t>
      </w:r>
      <w:r w:rsidRPr="00583078">
        <w:rPr>
          <w:rFonts w:ascii="Arial" w:hAnsi="Arial" w:cs="Arial"/>
          <w:sz w:val="16"/>
          <w:szCs w:val="16"/>
          <w:lang w:val="en-GB"/>
        </w:rPr>
        <w:t>If none, record none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8BF0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779B92F" wp14:editId="13C22B13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E3ECA" w14:textId="77777777" w:rsidR="00874271" w:rsidRDefault="00874271" w:rsidP="00874271">
    <w:pPr>
      <w:pStyle w:val="Header"/>
      <w:jc w:val="center"/>
    </w:pPr>
  </w:p>
  <w:p w14:paraId="57FBCBF5" w14:textId="77777777" w:rsidR="00874271" w:rsidRDefault="00874271" w:rsidP="006A138A">
    <w:pPr>
      <w:pStyle w:val="Header"/>
      <w:jc w:val="center"/>
      <w:rPr>
        <w:rFonts w:ascii="Arial" w:hAnsi="Arial" w:cs="Arial"/>
      </w:rPr>
    </w:pPr>
    <w:r w:rsidRPr="00874271">
      <w:rPr>
        <w:rFonts w:ascii="Arial" w:hAnsi="Arial" w:cs="Arial"/>
      </w:rPr>
      <w:t xml:space="preserve">AmTrust International – </w:t>
    </w:r>
    <w:r w:rsidR="00C80956">
      <w:rPr>
        <w:rFonts w:ascii="Arial" w:hAnsi="Arial" w:cs="Arial"/>
      </w:rPr>
      <w:t xml:space="preserve">Role Profile </w:t>
    </w:r>
  </w:p>
  <w:p w14:paraId="71CC6A84" w14:textId="77777777" w:rsidR="006A138A" w:rsidRDefault="006A138A" w:rsidP="006A138A">
    <w:pPr>
      <w:pStyle w:val="Header"/>
      <w:jc w:val="center"/>
      <w:rPr>
        <w:rFonts w:ascii="Arial" w:hAnsi="Arial" w:cs="Arial"/>
      </w:rPr>
    </w:pPr>
  </w:p>
  <w:p w14:paraId="4A1F351A" w14:textId="77777777" w:rsidR="006A138A" w:rsidRDefault="006A138A" w:rsidP="006A13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93342FE"/>
    <w:multiLevelType w:val="hybridMultilevel"/>
    <w:tmpl w:val="A41E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15014"/>
    <w:multiLevelType w:val="hybridMultilevel"/>
    <w:tmpl w:val="A9B6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24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47991">
    <w:abstractNumId w:val="23"/>
  </w:num>
  <w:num w:numId="2" w16cid:durableId="2010012753">
    <w:abstractNumId w:val="1"/>
  </w:num>
  <w:num w:numId="3" w16cid:durableId="797644229">
    <w:abstractNumId w:val="10"/>
  </w:num>
  <w:num w:numId="4" w16cid:durableId="1928684892">
    <w:abstractNumId w:val="3"/>
  </w:num>
  <w:num w:numId="5" w16cid:durableId="411053681">
    <w:abstractNumId w:val="8"/>
  </w:num>
  <w:num w:numId="6" w16cid:durableId="1368263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212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8334759">
    <w:abstractNumId w:val="15"/>
  </w:num>
  <w:num w:numId="9" w16cid:durableId="1404253779">
    <w:abstractNumId w:val="4"/>
  </w:num>
  <w:num w:numId="10" w16cid:durableId="1234390641">
    <w:abstractNumId w:val="14"/>
  </w:num>
  <w:num w:numId="11" w16cid:durableId="1910572848">
    <w:abstractNumId w:val="19"/>
  </w:num>
  <w:num w:numId="12" w16cid:durableId="626084718">
    <w:abstractNumId w:val="9"/>
  </w:num>
  <w:num w:numId="13" w16cid:durableId="620112522">
    <w:abstractNumId w:val="12"/>
  </w:num>
  <w:num w:numId="14" w16cid:durableId="1581986776">
    <w:abstractNumId w:val="6"/>
  </w:num>
  <w:num w:numId="15" w16cid:durableId="1863089970">
    <w:abstractNumId w:val="24"/>
  </w:num>
  <w:num w:numId="16" w16cid:durableId="165678251">
    <w:abstractNumId w:val="20"/>
  </w:num>
  <w:num w:numId="17" w16cid:durableId="2122609241">
    <w:abstractNumId w:val="18"/>
  </w:num>
  <w:num w:numId="18" w16cid:durableId="1576695733">
    <w:abstractNumId w:val="0"/>
  </w:num>
  <w:num w:numId="19" w16cid:durableId="1970890672">
    <w:abstractNumId w:val="21"/>
  </w:num>
  <w:num w:numId="20" w16cid:durableId="1360665978">
    <w:abstractNumId w:val="13"/>
  </w:num>
  <w:num w:numId="21" w16cid:durableId="1836798525">
    <w:abstractNumId w:val="5"/>
  </w:num>
  <w:num w:numId="22" w16cid:durableId="742028773">
    <w:abstractNumId w:val="22"/>
  </w:num>
  <w:num w:numId="23" w16cid:durableId="1827696621">
    <w:abstractNumId w:val="2"/>
  </w:num>
  <w:num w:numId="24" w16cid:durableId="1279221690">
    <w:abstractNumId w:val="11"/>
  </w:num>
  <w:num w:numId="25" w16cid:durableId="1745757316">
    <w:abstractNumId w:val="17"/>
  </w:num>
  <w:num w:numId="26" w16cid:durableId="123426414">
    <w:abstractNumId w:val="16"/>
  </w:num>
  <w:num w:numId="27" w16cid:durableId="61081960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2279E"/>
    <w:rsid w:val="000363FA"/>
    <w:rsid w:val="00037961"/>
    <w:rsid w:val="00041B89"/>
    <w:rsid w:val="00044B09"/>
    <w:rsid w:val="000511E5"/>
    <w:rsid w:val="00055E1A"/>
    <w:rsid w:val="00056020"/>
    <w:rsid w:val="000565F9"/>
    <w:rsid w:val="00083421"/>
    <w:rsid w:val="00091310"/>
    <w:rsid w:val="00092FA2"/>
    <w:rsid w:val="000950D2"/>
    <w:rsid w:val="00095908"/>
    <w:rsid w:val="00097D7B"/>
    <w:rsid w:val="000A1A25"/>
    <w:rsid w:val="000C098F"/>
    <w:rsid w:val="000F4F50"/>
    <w:rsid w:val="001076B3"/>
    <w:rsid w:val="001119F3"/>
    <w:rsid w:val="0012150B"/>
    <w:rsid w:val="00137664"/>
    <w:rsid w:val="00143E65"/>
    <w:rsid w:val="00151C66"/>
    <w:rsid w:val="001700D1"/>
    <w:rsid w:val="0017026A"/>
    <w:rsid w:val="0017056A"/>
    <w:rsid w:val="001775AA"/>
    <w:rsid w:val="00182A28"/>
    <w:rsid w:val="001876AC"/>
    <w:rsid w:val="00190638"/>
    <w:rsid w:val="0019731B"/>
    <w:rsid w:val="001A4F0D"/>
    <w:rsid w:val="001A6F5E"/>
    <w:rsid w:val="001C2690"/>
    <w:rsid w:val="001C4F36"/>
    <w:rsid w:val="001E5DA3"/>
    <w:rsid w:val="001E7E28"/>
    <w:rsid w:val="001F3147"/>
    <w:rsid w:val="00201D8A"/>
    <w:rsid w:val="00202265"/>
    <w:rsid w:val="00222851"/>
    <w:rsid w:val="00224C94"/>
    <w:rsid w:val="002250F1"/>
    <w:rsid w:val="00227900"/>
    <w:rsid w:val="002351A1"/>
    <w:rsid w:val="00235367"/>
    <w:rsid w:val="00242EA9"/>
    <w:rsid w:val="00243E00"/>
    <w:rsid w:val="00256AE9"/>
    <w:rsid w:val="00264EC0"/>
    <w:rsid w:val="00266CF6"/>
    <w:rsid w:val="00271BBA"/>
    <w:rsid w:val="00271D5C"/>
    <w:rsid w:val="00274FFA"/>
    <w:rsid w:val="00277B41"/>
    <w:rsid w:val="00286B0D"/>
    <w:rsid w:val="002915C8"/>
    <w:rsid w:val="00295E62"/>
    <w:rsid w:val="002A12D8"/>
    <w:rsid w:val="002A2D9A"/>
    <w:rsid w:val="002C12E8"/>
    <w:rsid w:val="002C1FF9"/>
    <w:rsid w:val="002C2E6D"/>
    <w:rsid w:val="002C4FA5"/>
    <w:rsid w:val="002C7C18"/>
    <w:rsid w:val="002E7217"/>
    <w:rsid w:val="00312684"/>
    <w:rsid w:val="00330EF0"/>
    <w:rsid w:val="003315F1"/>
    <w:rsid w:val="003376E7"/>
    <w:rsid w:val="00347C44"/>
    <w:rsid w:val="00351AD3"/>
    <w:rsid w:val="00370EB3"/>
    <w:rsid w:val="003729FD"/>
    <w:rsid w:val="00391E22"/>
    <w:rsid w:val="003E5DDA"/>
    <w:rsid w:val="00402A02"/>
    <w:rsid w:val="00407A0E"/>
    <w:rsid w:val="00412679"/>
    <w:rsid w:val="00417379"/>
    <w:rsid w:val="00417AAC"/>
    <w:rsid w:val="00417BE2"/>
    <w:rsid w:val="00422287"/>
    <w:rsid w:val="004229A6"/>
    <w:rsid w:val="004311B3"/>
    <w:rsid w:val="00436014"/>
    <w:rsid w:val="00437A71"/>
    <w:rsid w:val="00442031"/>
    <w:rsid w:val="00443E32"/>
    <w:rsid w:val="00450C62"/>
    <w:rsid w:val="00452BD8"/>
    <w:rsid w:val="004953B7"/>
    <w:rsid w:val="004B1645"/>
    <w:rsid w:val="004B4465"/>
    <w:rsid w:val="004C79DF"/>
    <w:rsid w:val="004D1BF8"/>
    <w:rsid w:val="004D369F"/>
    <w:rsid w:val="004E2278"/>
    <w:rsid w:val="004E48B4"/>
    <w:rsid w:val="004E7376"/>
    <w:rsid w:val="0050147B"/>
    <w:rsid w:val="00510567"/>
    <w:rsid w:val="0052204A"/>
    <w:rsid w:val="00547E9D"/>
    <w:rsid w:val="005508AE"/>
    <w:rsid w:val="00554578"/>
    <w:rsid w:val="00556C20"/>
    <w:rsid w:val="005600E7"/>
    <w:rsid w:val="005605A7"/>
    <w:rsid w:val="005767C5"/>
    <w:rsid w:val="0058098C"/>
    <w:rsid w:val="00580E95"/>
    <w:rsid w:val="00583078"/>
    <w:rsid w:val="005859CA"/>
    <w:rsid w:val="005867E5"/>
    <w:rsid w:val="005A6D4B"/>
    <w:rsid w:val="005B43AD"/>
    <w:rsid w:val="005B48A3"/>
    <w:rsid w:val="005B49F4"/>
    <w:rsid w:val="005B4C75"/>
    <w:rsid w:val="005C5878"/>
    <w:rsid w:val="005C642A"/>
    <w:rsid w:val="005D009C"/>
    <w:rsid w:val="005D5698"/>
    <w:rsid w:val="005E098E"/>
    <w:rsid w:val="005E7AA4"/>
    <w:rsid w:val="005F025D"/>
    <w:rsid w:val="005F5B3F"/>
    <w:rsid w:val="0061364A"/>
    <w:rsid w:val="00614B78"/>
    <w:rsid w:val="00622AFD"/>
    <w:rsid w:val="0062315B"/>
    <w:rsid w:val="00631914"/>
    <w:rsid w:val="00637F64"/>
    <w:rsid w:val="006603BF"/>
    <w:rsid w:val="006723A7"/>
    <w:rsid w:val="00691CAA"/>
    <w:rsid w:val="006930C6"/>
    <w:rsid w:val="00693E07"/>
    <w:rsid w:val="006A138A"/>
    <w:rsid w:val="006B6D0C"/>
    <w:rsid w:val="006C31A6"/>
    <w:rsid w:val="006D2D62"/>
    <w:rsid w:val="006F025F"/>
    <w:rsid w:val="006F73C5"/>
    <w:rsid w:val="0070338A"/>
    <w:rsid w:val="00705548"/>
    <w:rsid w:val="00714032"/>
    <w:rsid w:val="0071520E"/>
    <w:rsid w:val="007173AA"/>
    <w:rsid w:val="00717771"/>
    <w:rsid w:val="00745B93"/>
    <w:rsid w:val="00746AC5"/>
    <w:rsid w:val="00753951"/>
    <w:rsid w:val="00756199"/>
    <w:rsid w:val="00756C5F"/>
    <w:rsid w:val="00764F98"/>
    <w:rsid w:val="007657B9"/>
    <w:rsid w:val="00783E56"/>
    <w:rsid w:val="0078430F"/>
    <w:rsid w:val="0079324F"/>
    <w:rsid w:val="007A2763"/>
    <w:rsid w:val="007B0DC4"/>
    <w:rsid w:val="007C0927"/>
    <w:rsid w:val="007C5A83"/>
    <w:rsid w:val="007E4B84"/>
    <w:rsid w:val="007F4DE0"/>
    <w:rsid w:val="007F5F75"/>
    <w:rsid w:val="00802079"/>
    <w:rsid w:val="00803A9D"/>
    <w:rsid w:val="008170BF"/>
    <w:rsid w:val="00855BDD"/>
    <w:rsid w:val="00856173"/>
    <w:rsid w:val="008568C9"/>
    <w:rsid w:val="00874271"/>
    <w:rsid w:val="00885D9F"/>
    <w:rsid w:val="00892415"/>
    <w:rsid w:val="00895FEF"/>
    <w:rsid w:val="0089732D"/>
    <w:rsid w:val="008B0C39"/>
    <w:rsid w:val="008B74D0"/>
    <w:rsid w:val="008D0979"/>
    <w:rsid w:val="008E6926"/>
    <w:rsid w:val="008F7924"/>
    <w:rsid w:val="00902F63"/>
    <w:rsid w:val="0090670F"/>
    <w:rsid w:val="00917DC5"/>
    <w:rsid w:val="009223B1"/>
    <w:rsid w:val="00924057"/>
    <w:rsid w:val="0092598A"/>
    <w:rsid w:val="00930A14"/>
    <w:rsid w:val="00937C6D"/>
    <w:rsid w:val="009409E6"/>
    <w:rsid w:val="0094314C"/>
    <w:rsid w:val="00945951"/>
    <w:rsid w:val="00973533"/>
    <w:rsid w:val="00995C6A"/>
    <w:rsid w:val="009A2F1D"/>
    <w:rsid w:val="009B22B4"/>
    <w:rsid w:val="009B47FA"/>
    <w:rsid w:val="009B5852"/>
    <w:rsid w:val="009C3E7D"/>
    <w:rsid w:val="009C52D8"/>
    <w:rsid w:val="009D03A0"/>
    <w:rsid w:val="009D1019"/>
    <w:rsid w:val="009D45D9"/>
    <w:rsid w:val="009D604B"/>
    <w:rsid w:val="009E66CE"/>
    <w:rsid w:val="009F5703"/>
    <w:rsid w:val="00A26526"/>
    <w:rsid w:val="00A3369F"/>
    <w:rsid w:val="00A53180"/>
    <w:rsid w:val="00A53F63"/>
    <w:rsid w:val="00A639E0"/>
    <w:rsid w:val="00A73EA4"/>
    <w:rsid w:val="00A81FC3"/>
    <w:rsid w:val="00AA537C"/>
    <w:rsid w:val="00AA7A21"/>
    <w:rsid w:val="00AC2B48"/>
    <w:rsid w:val="00AD4C06"/>
    <w:rsid w:val="00AD53BC"/>
    <w:rsid w:val="00AE3618"/>
    <w:rsid w:val="00AE5BBE"/>
    <w:rsid w:val="00AF4FF3"/>
    <w:rsid w:val="00B1702E"/>
    <w:rsid w:val="00B24EFE"/>
    <w:rsid w:val="00B4213B"/>
    <w:rsid w:val="00B42A15"/>
    <w:rsid w:val="00B470C0"/>
    <w:rsid w:val="00B507CF"/>
    <w:rsid w:val="00B71E32"/>
    <w:rsid w:val="00B7333E"/>
    <w:rsid w:val="00B848F1"/>
    <w:rsid w:val="00B86B0A"/>
    <w:rsid w:val="00B9523F"/>
    <w:rsid w:val="00BA60F5"/>
    <w:rsid w:val="00BB1BC4"/>
    <w:rsid w:val="00BC39CC"/>
    <w:rsid w:val="00BC6F89"/>
    <w:rsid w:val="00BD35D9"/>
    <w:rsid w:val="00BD77F5"/>
    <w:rsid w:val="00BD7F30"/>
    <w:rsid w:val="00BE09CC"/>
    <w:rsid w:val="00BE2EFA"/>
    <w:rsid w:val="00BF5745"/>
    <w:rsid w:val="00C00435"/>
    <w:rsid w:val="00C13B38"/>
    <w:rsid w:val="00C305D7"/>
    <w:rsid w:val="00C3199E"/>
    <w:rsid w:val="00C412A3"/>
    <w:rsid w:val="00C41ABE"/>
    <w:rsid w:val="00C63013"/>
    <w:rsid w:val="00C8016D"/>
    <w:rsid w:val="00C80956"/>
    <w:rsid w:val="00C80E48"/>
    <w:rsid w:val="00C82F67"/>
    <w:rsid w:val="00C9442E"/>
    <w:rsid w:val="00CB2581"/>
    <w:rsid w:val="00CD03E1"/>
    <w:rsid w:val="00CE35CE"/>
    <w:rsid w:val="00CE694C"/>
    <w:rsid w:val="00CE788E"/>
    <w:rsid w:val="00CF42CC"/>
    <w:rsid w:val="00D00136"/>
    <w:rsid w:val="00D12327"/>
    <w:rsid w:val="00D17CEA"/>
    <w:rsid w:val="00D203FB"/>
    <w:rsid w:val="00D259F8"/>
    <w:rsid w:val="00D369EE"/>
    <w:rsid w:val="00D52119"/>
    <w:rsid w:val="00D5676D"/>
    <w:rsid w:val="00D67C25"/>
    <w:rsid w:val="00D91395"/>
    <w:rsid w:val="00D937BC"/>
    <w:rsid w:val="00D95F41"/>
    <w:rsid w:val="00DA0A5A"/>
    <w:rsid w:val="00DA3EF6"/>
    <w:rsid w:val="00DB0AEE"/>
    <w:rsid w:val="00DC3E86"/>
    <w:rsid w:val="00DC5BB7"/>
    <w:rsid w:val="00DC7E5A"/>
    <w:rsid w:val="00DE3D96"/>
    <w:rsid w:val="00DE4140"/>
    <w:rsid w:val="00DF03FD"/>
    <w:rsid w:val="00DF1160"/>
    <w:rsid w:val="00E02EBD"/>
    <w:rsid w:val="00E07F0F"/>
    <w:rsid w:val="00E3233C"/>
    <w:rsid w:val="00E6471C"/>
    <w:rsid w:val="00E82AF9"/>
    <w:rsid w:val="00E85800"/>
    <w:rsid w:val="00E916AE"/>
    <w:rsid w:val="00E932E8"/>
    <w:rsid w:val="00EB304E"/>
    <w:rsid w:val="00EC087A"/>
    <w:rsid w:val="00EE54F6"/>
    <w:rsid w:val="00EE605A"/>
    <w:rsid w:val="00EF6AEF"/>
    <w:rsid w:val="00EF7113"/>
    <w:rsid w:val="00F2036E"/>
    <w:rsid w:val="00F20F4B"/>
    <w:rsid w:val="00F22D12"/>
    <w:rsid w:val="00F42A85"/>
    <w:rsid w:val="00F46B16"/>
    <w:rsid w:val="00F64B1D"/>
    <w:rsid w:val="00F757CA"/>
    <w:rsid w:val="00F8180F"/>
    <w:rsid w:val="00F87779"/>
    <w:rsid w:val="00F92049"/>
    <w:rsid w:val="00FA71EB"/>
    <w:rsid w:val="00FB254C"/>
    <w:rsid w:val="00FB2D65"/>
    <w:rsid w:val="00FD1ACF"/>
    <w:rsid w:val="00FD3A00"/>
    <w:rsid w:val="00FD7837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9443C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3E6A-DE03-457D-8D88-4E965FB9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Louise Cosgrove</cp:lastModifiedBy>
  <cp:revision>2</cp:revision>
  <cp:lastPrinted>2019-10-10T09:22:00Z</cp:lastPrinted>
  <dcterms:created xsi:type="dcterms:W3CDTF">2026-06-02T09:49:00Z</dcterms:created>
  <dcterms:modified xsi:type="dcterms:W3CDTF">2026-06-02T09:49:00Z</dcterms:modified>
</cp:coreProperties>
</file>