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2639"/>
        <w:gridCol w:w="6187"/>
      </w:tblGrid>
      <w:tr w:rsidR="00BA084B" w:rsidRPr="000B67F0" w14:paraId="3AA7961E" w14:textId="77777777" w:rsidTr="00C80956">
        <w:trPr>
          <w:trHeight w:val="567"/>
        </w:trPr>
        <w:tc>
          <w:tcPr>
            <w:tcW w:w="383" w:type="dxa"/>
            <w:vAlign w:val="center"/>
          </w:tcPr>
          <w:p w14:paraId="37DEADD1" w14:textId="77777777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639" w:type="dxa"/>
            <w:vAlign w:val="center"/>
          </w:tcPr>
          <w:p w14:paraId="74BEFF98" w14:textId="77777777" w:rsidR="00B24EFE" w:rsidRPr="000B67F0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6187" w:type="dxa"/>
            <w:vAlign w:val="center"/>
          </w:tcPr>
          <w:p w14:paraId="5E604DCC" w14:textId="77777777" w:rsidR="00736A01" w:rsidRPr="000B67F0" w:rsidRDefault="00736A01" w:rsidP="00BA084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139EB550" w14:textId="74F7FE49" w:rsidR="00A03FE5" w:rsidRPr="000B67F0" w:rsidRDefault="00A20FC6" w:rsidP="00BA084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Talent Experience &amp; Development Specialist</w:t>
            </w:r>
          </w:p>
          <w:p w14:paraId="4A9E6C25" w14:textId="77777777" w:rsidR="00A03FE5" w:rsidRPr="000B67F0" w:rsidRDefault="00A03FE5" w:rsidP="00736A01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="00A93B28" w:rsidRPr="000B67F0" w14:paraId="0868339B" w14:textId="77777777" w:rsidTr="00A93B28">
        <w:trPr>
          <w:trHeight w:val="56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C19" w14:textId="77777777" w:rsidR="00A93B28" w:rsidRPr="00BA084B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4B3" w14:textId="77777777" w:rsidR="00A93B28" w:rsidRPr="000B67F0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Function &amp; Business Unit 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880" w14:textId="1DF923A7" w:rsidR="00A93B28" w:rsidRPr="000B67F0" w:rsidRDefault="00BE238F" w:rsidP="00BE238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Human Resources</w:t>
            </w:r>
          </w:p>
        </w:tc>
      </w:tr>
      <w:tr w:rsidR="00A93B28" w:rsidRPr="000B67F0" w14:paraId="66E4D1FE" w14:textId="77777777" w:rsidTr="00BE238F">
        <w:trPr>
          <w:trHeight w:val="5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144" w14:textId="77777777" w:rsidR="00A93B28" w:rsidRPr="00BA084B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AC5" w14:textId="77777777" w:rsidR="00A93B28" w:rsidRPr="000B67F0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Location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2D4" w14:textId="2AD6DF2A" w:rsidR="00A93B28" w:rsidRPr="000B67F0" w:rsidRDefault="008E1BA9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London</w:t>
            </w:r>
            <w:r w:rsidR="00A20FC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or Leeds/Bradford</w:t>
            </w:r>
          </w:p>
        </w:tc>
      </w:tr>
      <w:tr w:rsidR="00BA084B" w:rsidRPr="000B67F0" w14:paraId="147E2B39" w14:textId="77777777" w:rsidTr="00C80956">
        <w:trPr>
          <w:trHeight w:val="1531"/>
        </w:trPr>
        <w:tc>
          <w:tcPr>
            <w:tcW w:w="383" w:type="dxa"/>
            <w:vAlign w:val="center"/>
          </w:tcPr>
          <w:p w14:paraId="7358FB73" w14:textId="77777777" w:rsidR="00B24EFE" w:rsidRPr="00BA084B" w:rsidRDefault="00C92687" w:rsidP="00A93B28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639" w:type="dxa"/>
            <w:vAlign w:val="center"/>
          </w:tcPr>
          <w:p w14:paraId="37B3667C" w14:textId="77777777" w:rsidR="00A93B28" w:rsidRPr="000B67F0" w:rsidRDefault="00A93B28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</w:t>
            </w:r>
          </w:p>
          <w:p w14:paraId="786F78B0" w14:textId="77777777" w:rsidR="00B24EFE" w:rsidRPr="000B67F0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>Reporting Line</w:t>
            </w:r>
          </w:p>
        </w:tc>
        <w:tc>
          <w:tcPr>
            <w:tcW w:w="6187" w:type="dxa"/>
            <w:vAlign w:val="center"/>
          </w:tcPr>
          <w:p w14:paraId="6775E960" w14:textId="77777777" w:rsidR="00A93B28" w:rsidRPr="000B67F0" w:rsidRDefault="00A93B28" w:rsidP="00BA084B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Direct Line Manager</w:t>
            </w:r>
          </w:p>
          <w:p w14:paraId="31870861" w14:textId="074071A6" w:rsidR="00B24EFE" w:rsidRPr="000B67F0" w:rsidRDefault="00A20FC6" w:rsidP="00BA084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Head of Talent Experience &amp; Development</w:t>
            </w:r>
          </w:p>
          <w:p w14:paraId="2459386C" w14:textId="77777777" w:rsidR="00B24EFE" w:rsidRPr="000B67F0" w:rsidRDefault="00B24EFE" w:rsidP="00BA084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6AD55080" w14:textId="77777777" w:rsidR="00C92687" w:rsidRPr="000B67F0" w:rsidRDefault="00C92687" w:rsidP="00A20FC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="00A93B28" w:rsidRPr="000B67F0" w14:paraId="2C29B95B" w14:textId="77777777" w:rsidTr="00C80956">
        <w:trPr>
          <w:trHeight w:val="624"/>
        </w:trPr>
        <w:tc>
          <w:tcPr>
            <w:tcW w:w="383" w:type="dxa"/>
            <w:vAlign w:val="center"/>
          </w:tcPr>
          <w:p w14:paraId="474CF2C3" w14:textId="77777777" w:rsidR="00A93B28" w:rsidRPr="00BA084B" w:rsidRDefault="00C92687" w:rsidP="00C92687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639" w:type="dxa"/>
            <w:vAlign w:val="center"/>
          </w:tcPr>
          <w:p w14:paraId="6E0A007F" w14:textId="77777777" w:rsidR="00A93B28" w:rsidRPr="000B67F0" w:rsidRDefault="00A93B28" w:rsidP="00A93B28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Reports </w:t>
            </w:r>
          </w:p>
        </w:tc>
        <w:tc>
          <w:tcPr>
            <w:tcW w:w="6187" w:type="dxa"/>
            <w:vAlign w:val="center"/>
          </w:tcPr>
          <w:p w14:paraId="10C20A4A" w14:textId="77777777" w:rsidR="00A93B28" w:rsidRPr="000B67F0" w:rsidRDefault="00A93B28" w:rsidP="00A93B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0B67F0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Direct Reports</w:t>
            </w:r>
          </w:p>
          <w:p w14:paraId="7F117FFC" w14:textId="77777777" w:rsidR="00A93B28" w:rsidRPr="000B67F0" w:rsidRDefault="00A93B28" w:rsidP="00A93B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D67F535" w14:textId="39914246" w:rsidR="00A93B28" w:rsidRPr="000B67F0" w:rsidRDefault="00BE238F" w:rsidP="00A93B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  <w:p w14:paraId="7836EC75" w14:textId="77777777" w:rsidR="00A93B28" w:rsidRPr="000B67F0" w:rsidRDefault="00A93B28" w:rsidP="00A93B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6E1A4E85" w14:textId="77777777" w:rsidR="00A93B28" w:rsidRPr="000B67F0" w:rsidRDefault="00A93B28" w:rsidP="00A93B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0B67F0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Indirect (dotted) Reports</w:t>
            </w:r>
          </w:p>
          <w:p w14:paraId="024334A3" w14:textId="77777777" w:rsidR="00A93B28" w:rsidRPr="000B67F0" w:rsidRDefault="00A93B28" w:rsidP="00A93B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67470F7A" w14:textId="538F44F3" w:rsidR="00A93B28" w:rsidRPr="000B67F0" w:rsidRDefault="00BE238F" w:rsidP="00A93B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</w:tc>
      </w:tr>
      <w:tr w:rsidR="00A93B28" w:rsidRPr="000B67F0" w14:paraId="76927294" w14:textId="77777777" w:rsidTr="002C333F">
        <w:trPr>
          <w:trHeight w:val="2419"/>
        </w:trPr>
        <w:tc>
          <w:tcPr>
            <w:tcW w:w="383" w:type="dxa"/>
            <w:vAlign w:val="center"/>
          </w:tcPr>
          <w:p w14:paraId="57B8901B" w14:textId="77777777" w:rsidR="00A93B28" w:rsidRDefault="00C92687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6</w:t>
            </w:r>
          </w:p>
          <w:p w14:paraId="5E7D308D" w14:textId="77777777" w:rsidR="00A93B28" w:rsidRPr="00BA084B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639" w:type="dxa"/>
            <w:vAlign w:val="center"/>
          </w:tcPr>
          <w:p w14:paraId="03BC7BC6" w14:textId="77777777" w:rsidR="00A93B28" w:rsidRPr="000B67F0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>Committee Roles</w:t>
            </w:r>
          </w:p>
          <w:p w14:paraId="70E519A4" w14:textId="77777777" w:rsidR="00A93B28" w:rsidRPr="000B67F0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87" w:type="dxa"/>
            <w:vAlign w:val="center"/>
          </w:tcPr>
          <w:p w14:paraId="2015AA0E" w14:textId="77777777" w:rsidR="00A93B28" w:rsidRPr="000B67F0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Chair</w:t>
            </w:r>
          </w:p>
          <w:p w14:paraId="7A29B020" w14:textId="77777777" w:rsidR="00A93B28" w:rsidRPr="000B67F0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2C56C20C" w14:textId="0E03090C" w:rsidR="00A93B28" w:rsidRPr="000B67F0" w:rsidRDefault="00BE238F" w:rsidP="002C333F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  <w:p w14:paraId="175F1B1B" w14:textId="77777777" w:rsidR="00A93B28" w:rsidRPr="000B67F0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369F9EFF" w14:textId="77777777" w:rsidR="00A93B28" w:rsidRPr="000B67F0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Member</w:t>
            </w:r>
          </w:p>
          <w:p w14:paraId="24A35B5B" w14:textId="77777777" w:rsidR="00A93B28" w:rsidRPr="000B67F0" w:rsidRDefault="00A93B28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2018E83F" w14:textId="1B446BB2" w:rsidR="00A93B28" w:rsidRPr="000B67F0" w:rsidRDefault="00A20FC6" w:rsidP="00FD3C81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</w:tc>
      </w:tr>
      <w:tr w:rsidR="00A93B28" w:rsidRPr="000B67F0" w14:paraId="5E074F16" w14:textId="77777777" w:rsidTr="00C80956">
        <w:trPr>
          <w:trHeight w:val="624"/>
        </w:trPr>
        <w:tc>
          <w:tcPr>
            <w:tcW w:w="383" w:type="dxa"/>
            <w:vAlign w:val="center"/>
          </w:tcPr>
          <w:p w14:paraId="6B4292B8" w14:textId="77777777" w:rsidR="00A93B28" w:rsidRPr="00BA084B" w:rsidRDefault="00A93B28" w:rsidP="00A93B28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639" w:type="dxa"/>
            <w:vAlign w:val="center"/>
          </w:tcPr>
          <w:p w14:paraId="74039FE4" w14:textId="77777777" w:rsidR="00A93B28" w:rsidRPr="000B67F0" w:rsidRDefault="00A93B28" w:rsidP="00A93B28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>Key Stakeholders</w:t>
            </w:r>
          </w:p>
        </w:tc>
        <w:tc>
          <w:tcPr>
            <w:tcW w:w="6187" w:type="dxa"/>
            <w:vAlign w:val="center"/>
          </w:tcPr>
          <w:p w14:paraId="68A9F1B9" w14:textId="2B61A76E" w:rsidR="00DD0977" w:rsidRDefault="00A20FC6" w:rsidP="00DD09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Employees</w:t>
            </w:r>
          </w:p>
          <w:p w14:paraId="10B90687" w14:textId="158ECE16" w:rsidR="00A20FC6" w:rsidRDefault="00A20FC6" w:rsidP="00DD09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Managers</w:t>
            </w:r>
          </w:p>
          <w:p w14:paraId="33F63F1C" w14:textId="701562E1" w:rsidR="002D695F" w:rsidRPr="00DD0977" w:rsidRDefault="002D695F" w:rsidP="00DD09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Employee Communications</w:t>
            </w:r>
          </w:p>
          <w:p w14:paraId="3DAF8260" w14:textId="77777777" w:rsidR="002D695F" w:rsidRDefault="008E1BA9" w:rsidP="002D69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HR tea</w:t>
            </w:r>
            <w:r w:rsidR="002D695F">
              <w:rPr>
                <w:rFonts w:ascii="Arial" w:hAnsi="Arial" w:cs="Arial"/>
                <w:sz w:val="22"/>
                <w:szCs w:val="22"/>
                <w:lang w:eastAsia="en-GB"/>
              </w:rPr>
              <w:t>m</w:t>
            </w:r>
          </w:p>
          <w:p w14:paraId="4A19E231" w14:textId="5E66B8D8" w:rsidR="00654042" w:rsidRPr="002D695F" w:rsidRDefault="00654042" w:rsidP="002D69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Global Talent Team</w:t>
            </w:r>
          </w:p>
        </w:tc>
      </w:tr>
      <w:tr w:rsidR="00A93B28" w:rsidRPr="000B67F0" w14:paraId="6417F968" w14:textId="77777777" w:rsidTr="00C80956">
        <w:trPr>
          <w:trHeight w:val="624"/>
        </w:trPr>
        <w:tc>
          <w:tcPr>
            <w:tcW w:w="383" w:type="dxa"/>
            <w:vAlign w:val="center"/>
          </w:tcPr>
          <w:p w14:paraId="5971DE4D" w14:textId="77777777" w:rsidR="00A93B28" w:rsidRPr="00BA084B" w:rsidRDefault="00A93B28" w:rsidP="00A93B28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8</w:t>
            </w: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39" w:type="dxa"/>
            <w:vAlign w:val="center"/>
          </w:tcPr>
          <w:p w14:paraId="006A0B9D" w14:textId="77777777" w:rsidR="00A93B28" w:rsidRPr="000B67F0" w:rsidRDefault="00A93B28" w:rsidP="00A93B28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7F4C3F21" w14:textId="77777777" w:rsidR="00A93B28" w:rsidRPr="000B67F0" w:rsidRDefault="00A93B28" w:rsidP="00A93B28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Date Reviewed &amp; Agreed by Line Manager &amp; Post holder </w:t>
            </w:r>
          </w:p>
          <w:p w14:paraId="2B1EBE91" w14:textId="77777777" w:rsidR="00A93B28" w:rsidRPr="000B67F0" w:rsidRDefault="00A93B28" w:rsidP="00A93B28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87" w:type="dxa"/>
            <w:vAlign w:val="center"/>
          </w:tcPr>
          <w:p w14:paraId="55817FFD" w14:textId="13BF06B9" w:rsidR="00A93B28" w:rsidRPr="000B67F0" w:rsidRDefault="00A20FC6" w:rsidP="00A93B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March 2026</w:t>
            </w:r>
          </w:p>
        </w:tc>
      </w:tr>
    </w:tbl>
    <w:p w14:paraId="06C7E539" w14:textId="77777777" w:rsidR="000950D2" w:rsidRDefault="000950D2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3DB17866" w14:textId="77777777" w:rsidR="00BA084B" w:rsidRDefault="00BA084B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7DF41E77" w14:textId="77777777" w:rsidR="00A20FC6" w:rsidRDefault="00A20FC6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066D895B" w14:textId="77777777" w:rsidR="00A20FC6" w:rsidRDefault="00A20FC6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7D6B4AA3" w14:textId="77777777" w:rsidR="00A20FC6" w:rsidRDefault="00A20FC6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69B179D4" w14:textId="77777777" w:rsidR="00A20FC6" w:rsidRDefault="00A20FC6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64A09D6D" w14:textId="77777777" w:rsidR="00A20FC6" w:rsidRDefault="00A20FC6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04BE3AF5" w14:textId="77777777" w:rsidR="00A20FC6" w:rsidRDefault="00A20FC6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090EF8CD" w14:textId="7C94F7E2" w:rsidR="00EB7592" w:rsidRPr="00C6218C" w:rsidRDefault="001C2690" w:rsidP="002D695F">
      <w:pPr>
        <w:pStyle w:val="AmTrustMainHeader"/>
        <w:jc w:val="both"/>
        <w:rPr>
          <w:rFonts w:ascii="Segoe UI" w:hAnsi="Segoe UI" w:cs="Segoe UI"/>
          <w:b/>
          <w:bCs/>
          <w:color w:val="002060"/>
          <w:szCs w:val="32"/>
          <w:lang w:eastAsia="en-GB"/>
        </w:rPr>
      </w:pPr>
      <w:r w:rsidRPr="00C6218C">
        <w:rPr>
          <w:rFonts w:ascii="Segoe UI" w:hAnsi="Segoe UI" w:cs="Segoe UI"/>
          <w:b/>
          <w:bCs/>
          <w:color w:val="002060"/>
          <w:szCs w:val="32"/>
          <w:lang w:eastAsia="en-GB"/>
        </w:rPr>
        <w:t>Position Overview</w:t>
      </w:r>
    </w:p>
    <w:p w14:paraId="3D96637C" w14:textId="50B4B768" w:rsidR="002D695F" w:rsidRPr="00162746" w:rsidRDefault="002D695F" w:rsidP="00654042">
      <w:p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The Talent </w:t>
      </w:r>
      <w:r>
        <w:rPr>
          <w:rFonts w:ascii="Segoe UI" w:hAnsi="Segoe UI" w:cs="Segoe UI"/>
          <w:sz w:val="21"/>
          <w:szCs w:val="21"/>
          <w:lang w:eastAsia="en-GB"/>
        </w:rPr>
        <w:t xml:space="preserve">Experience &amp; </w:t>
      </w:r>
      <w:r w:rsidRPr="00162746">
        <w:rPr>
          <w:rFonts w:ascii="Segoe UI" w:hAnsi="Segoe UI" w:cs="Segoe UI"/>
          <w:sz w:val="21"/>
          <w:szCs w:val="21"/>
          <w:lang w:eastAsia="en-GB"/>
        </w:rPr>
        <w:t>Development Specialist supports the design, delivery and continuous improvement of talent development, learning and employee experience initiatives across AmTrust International.</w:t>
      </w:r>
    </w:p>
    <w:p w14:paraId="4D736489" w14:textId="4CFF0B29" w:rsidR="002D695F" w:rsidRPr="00162746" w:rsidRDefault="002D695F" w:rsidP="00654042">
      <w:p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The role works in close partnership with the Head of Talent </w:t>
      </w:r>
      <w:r>
        <w:rPr>
          <w:rFonts w:ascii="Segoe UI" w:hAnsi="Segoe UI" w:cs="Segoe UI"/>
          <w:sz w:val="21"/>
          <w:szCs w:val="21"/>
          <w:lang w:eastAsia="en-GB"/>
        </w:rPr>
        <w:t xml:space="preserve">Experience &amp; </w:t>
      </w:r>
      <w:r w:rsidRPr="00162746">
        <w:rPr>
          <w:rFonts w:ascii="Segoe UI" w:hAnsi="Segoe UI" w:cs="Segoe UI"/>
          <w:sz w:val="21"/>
          <w:szCs w:val="21"/>
          <w:lang w:eastAsia="en-GB"/>
        </w:rPr>
        <w:t>Development to translate talent development strategy into high</w:t>
      </w:r>
      <w:r w:rsidRPr="00162746">
        <w:rPr>
          <w:rFonts w:ascii="Segoe UI" w:hAnsi="Segoe UI" w:cs="Segoe UI"/>
          <w:sz w:val="21"/>
          <w:szCs w:val="21"/>
          <w:lang w:eastAsia="en-GB"/>
        </w:rPr>
        <w:noBreakHyphen/>
        <w:t>quality, practical learning solutions and meaningful employee experiences that drive capability, engagement and performance.</w:t>
      </w:r>
    </w:p>
    <w:p w14:paraId="5EE4C977" w14:textId="77777777" w:rsidR="002D695F" w:rsidRDefault="002D695F" w:rsidP="00654042">
      <w:p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The Specialist contributes to </w:t>
      </w:r>
      <w:proofErr w:type="spellStart"/>
      <w:r w:rsidRPr="00162746">
        <w:rPr>
          <w:rFonts w:ascii="Segoe UI" w:hAnsi="Segoe UI" w:cs="Segoe UI"/>
          <w:sz w:val="21"/>
          <w:szCs w:val="21"/>
          <w:lang w:eastAsia="en-GB"/>
        </w:rPr>
        <w:t>programmes</w:t>
      </w:r>
      <w:proofErr w:type="spellEnd"/>
      <w:r w:rsidRPr="00162746">
        <w:rPr>
          <w:rFonts w:ascii="Segoe UI" w:hAnsi="Segoe UI" w:cs="Segoe UI"/>
          <w:sz w:val="21"/>
          <w:szCs w:val="21"/>
          <w:lang w:eastAsia="en-GB"/>
        </w:rPr>
        <w:t xml:space="preserve"> spanning learning delivery, talent experience, engagement and inclusion, ensuring initiatives are aligned to business priorities, reinforce a high</w:t>
      </w:r>
      <w:r w:rsidRPr="00162746">
        <w:rPr>
          <w:rFonts w:ascii="Segoe UI" w:hAnsi="Segoe UI" w:cs="Segoe UI"/>
          <w:sz w:val="21"/>
          <w:szCs w:val="21"/>
          <w:lang w:eastAsia="en-GB"/>
        </w:rPr>
        <w:noBreakHyphen/>
        <w:t>performing culture and deliver measurable value.</w:t>
      </w:r>
    </w:p>
    <w:p w14:paraId="7DCF36C8" w14:textId="66777D41" w:rsidR="00654042" w:rsidRPr="00654042" w:rsidRDefault="00654042" w:rsidP="00654042">
      <w:pPr>
        <w:spacing w:before="195" w:after="45" w:line="420" w:lineRule="atLeast"/>
        <w:outlineLvl w:val="2"/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</w:pPr>
      <w:r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  <w:br/>
      </w:r>
      <w:r w:rsidRPr="00654042"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  <w:t>What Makes the Role Rewarding</w:t>
      </w:r>
    </w:p>
    <w:p w14:paraId="1175986F" w14:textId="77777777" w:rsidR="00654042" w:rsidRPr="00A72F94" w:rsidRDefault="00654042" w:rsidP="00654042">
      <w:pPr>
        <w:numPr>
          <w:ilvl w:val="0"/>
          <w:numId w:val="45"/>
        </w:numPr>
        <w:spacing w:before="100" w:beforeAutospacing="1" w:after="100" w:afterAutospacing="1" w:line="420" w:lineRule="atLeast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Seeing learning </w:t>
      </w:r>
      <w:r w:rsidRPr="00A72F94">
        <w:rPr>
          <w:rFonts w:ascii="Aptos" w:hAnsi="Aptos" w:cs="Segoe UI"/>
          <w:b/>
          <w:bCs/>
          <w:color w:val="424242"/>
          <w:lang w:eastAsia="en-GB"/>
        </w:rPr>
        <w:t>make a real difference</w:t>
      </w:r>
      <w:r w:rsidRPr="00A72F94">
        <w:rPr>
          <w:rFonts w:ascii="Aptos" w:hAnsi="Aptos" w:cs="Segoe UI"/>
          <w:color w:val="424242"/>
          <w:lang w:eastAsia="en-GB"/>
        </w:rPr>
        <w:t> to how people perform in role</w:t>
      </w:r>
    </w:p>
    <w:p w14:paraId="6765A4E0" w14:textId="77777777" w:rsidR="00654042" w:rsidRPr="00A72F94" w:rsidRDefault="00654042" w:rsidP="00654042">
      <w:pPr>
        <w:numPr>
          <w:ilvl w:val="0"/>
          <w:numId w:val="45"/>
        </w:numPr>
        <w:spacing w:before="100" w:beforeAutospacing="1" w:after="100" w:afterAutospacing="1" w:line="420" w:lineRule="atLeast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Translating strategy into </w:t>
      </w:r>
      <w:r w:rsidRPr="00A72F94">
        <w:rPr>
          <w:rFonts w:ascii="Aptos" w:hAnsi="Aptos" w:cs="Segoe UI"/>
          <w:b/>
          <w:bCs/>
          <w:color w:val="424242"/>
          <w:lang w:eastAsia="en-GB"/>
        </w:rPr>
        <w:t>high</w:t>
      </w:r>
      <w:r w:rsidRPr="00A72F94">
        <w:rPr>
          <w:rFonts w:ascii="Aptos" w:hAnsi="Aptos" w:cs="Segoe UI"/>
          <w:b/>
          <w:bCs/>
          <w:color w:val="424242"/>
          <w:lang w:eastAsia="en-GB"/>
        </w:rPr>
        <w:noBreakHyphen/>
        <w:t>quality, practical delivery</w:t>
      </w:r>
    </w:p>
    <w:p w14:paraId="41731B50" w14:textId="77777777" w:rsidR="00654042" w:rsidRPr="00A72F94" w:rsidRDefault="00654042" w:rsidP="00654042">
      <w:pPr>
        <w:numPr>
          <w:ilvl w:val="0"/>
          <w:numId w:val="45"/>
        </w:numPr>
        <w:spacing w:before="100" w:beforeAutospacing="1" w:after="100" w:afterAutospacing="1" w:line="420" w:lineRule="atLeast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Helping employees feel supported, developed and engaged</w:t>
      </w:r>
    </w:p>
    <w:p w14:paraId="77EBA227" w14:textId="77777777" w:rsidR="00654042" w:rsidRPr="00A72F94" w:rsidRDefault="00654042" w:rsidP="00654042">
      <w:pPr>
        <w:numPr>
          <w:ilvl w:val="0"/>
          <w:numId w:val="45"/>
        </w:numPr>
        <w:spacing w:before="100" w:beforeAutospacing="1" w:after="100" w:afterAutospacing="1" w:line="420" w:lineRule="atLeast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Being trusted to manage delivery while contributing insight and improvement</w:t>
      </w:r>
    </w:p>
    <w:p w14:paraId="25B8A70F" w14:textId="77777777" w:rsidR="00654042" w:rsidRPr="00A72F94" w:rsidRDefault="00654042" w:rsidP="00654042">
      <w:pPr>
        <w:numPr>
          <w:ilvl w:val="0"/>
          <w:numId w:val="45"/>
        </w:numPr>
        <w:spacing w:before="100" w:beforeAutospacing="1" w:after="100" w:afterAutospacing="1" w:line="420" w:lineRule="atLeast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Playing a visible role in shaping AmTrust’s culture and experience</w:t>
      </w:r>
    </w:p>
    <w:p w14:paraId="3F691F2D" w14:textId="77777777" w:rsidR="00654042" w:rsidRDefault="00654042" w:rsidP="00654042">
      <w:pPr>
        <w:pStyle w:val="AmTrustMainHeader"/>
        <w:jc w:val="both"/>
        <w:rPr>
          <w:rFonts w:ascii="Segoe UI" w:hAnsi="Segoe UI" w:cs="Segoe UI"/>
          <w:b/>
          <w:bCs/>
          <w:color w:val="002060"/>
          <w:szCs w:val="32"/>
          <w:lang w:eastAsia="en-GB"/>
        </w:rPr>
      </w:pPr>
    </w:p>
    <w:p w14:paraId="1026EF52" w14:textId="77777777" w:rsidR="00654042" w:rsidRDefault="00654042" w:rsidP="00654042">
      <w:pPr>
        <w:pStyle w:val="AmTrustMainHeader"/>
        <w:jc w:val="both"/>
        <w:rPr>
          <w:rFonts w:ascii="Segoe UI" w:hAnsi="Segoe UI" w:cs="Segoe UI"/>
          <w:b/>
          <w:bCs/>
          <w:color w:val="002060"/>
          <w:szCs w:val="32"/>
          <w:lang w:eastAsia="en-GB"/>
        </w:rPr>
      </w:pPr>
    </w:p>
    <w:p w14:paraId="38D6DB09" w14:textId="77777777" w:rsidR="00654042" w:rsidRPr="00654042" w:rsidRDefault="00654042" w:rsidP="00654042">
      <w:pPr>
        <w:pStyle w:val="AmTrustMainHeader"/>
        <w:jc w:val="both"/>
        <w:rPr>
          <w:rFonts w:ascii="Segoe UI" w:hAnsi="Segoe UI" w:cs="Segoe UI"/>
          <w:b/>
          <w:bCs/>
          <w:color w:val="002060"/>
          <w:szCs w:val="32"/>
          <w:lang w:eastAsia="en-GB"/>
        </w:rPr>
      </w:pPr>
      <w:r w:rsidRPr="00654042">
        <w:rPr>
          <w:rFonts w:ascii="Segoe UI" w:hAnsi="Segoe UI" w:cs="Segoe UI"/>
          <w:b/>
          <w:bCs/>
          <w:color w:val="002060"/>
          <w:szCs w:val="32"/>
          <w:lang w:eastAsia="en-GB"/>
        </w:rPr>
        <w:t>A Day in the Life</w:t>
      </w:r>
      <w:r>
        <w:rPr>
          <w:rFonts w:ascii="Segoe UI" w:hAnsi="Segoe UI" w:cs="Segoe UI"/>
          <w:b/>
          <w:bCs/>
          <w:color w:val="002060"/>
          <w:szCs w:val="32"/>
          <w:lang w:eastAsia="en-GB"/>
        </w:rPr>
        <w:t xml:space="preserve"> of this role…</w:t>
      </w:r>
    </w:p>
    <w:p w14:paraId="259DC3FC" w14:textId="77777777" w:rsidR="00654042" w:rsidRDefault="00654042" w:rsidP="00654042">
      <w:pPr>
        <w:spacing w:before="120" w:after="60" w:line="420" w:lineRule="atLeast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 xml:space="preserve">No two days are the same — but every day is focused on helping people perform, grow and </w:t>
      </w:r>
      <w:r>
        <w:rPr>
          <w:rFonts w:ascii="Aptos" w:hAnsi="Aptos" w:cs="Segoe UI"/>
          <w:color w:val="424242"/>
          <w:lang w:eastAsia="en-GB"/>
        </w:rPr>
        <w:t>feel like they are thriving in their careers at AmTrust.</w:t>
      </w:r>
    </w:p>
    <w:p w14:paraId="30745A9D" w14:textId="77777777" w:rsidR="00654042" w:rsidRDefault="00654042" w:rsidP="00654042">
      <w:pPr>
        <w:spacing w:before="120" w:after="60" w:line="420" w:lineRule="atLeast"/>
        <w:rPr>
          <w:rFonts w:ascii="Aptos" w:hAnsi="Aptos" w:cs="Segoe UI"/>
          <w:color w:val="424242"/>
          <w:lang w:eastAsia="en-GB"/>
        </w:rPr>
      </w:pPr>
    </w:p>
    <w:p w14:paraId="6713CE7E" w14:textId="7AC4F81F" w:rsidR="00654042" w:rsidRDefault="004A2DE9" w:rsidP="00654042">
      <w:pPr>
        <w:pStyle w:val="AmTrustMainHeader"/>
        <w:jc w:val="both"/>
        <w:rPr>
          <w:rFonts w:ascii="Segoe UI" w:hAnsi="Segoe UI" w:cs="Segoe UI"/>
          <w:b/>
          <w:bCs/>
          <w:color w:val="002060"/>
          <w:szCs w:val="32"/>
          <w:lang w:eastAsia="en-GB"/>
        </w:rPr>
      </w:pPr>
      <w:r>
        <w:rPr>
          <w:rFonts w:ascii="Aptos" w:hAnsi="Aptos" w:cs="Segoe UI"/>
          <w:color w:val="424242"/>
          <w:sz w:val="24"/>
          <w:lang w:eastAsia="en-GB"/>
        </w:rPr>
        <w:pict w14:anchorId="10416BF2">
          <v:rect id="_x0000_i1025" style="width:8in;height:0" o:hrpct="0" o:hralign="center" o:hrstd="t" o:hr="t" fillcolor="#a0a0a0" stroked="f"/>
        </w:pict>
      </w:r>
    </w:p>
    <w:p w14:paraId="6F76D302" w14:textId="77777777" w:rsidR="00654042" w:rsidRDefault="00654042" w:rsidP="00654042">
      <w:pPr>
        <w:pStyle w:val="AmTrustMainHeader"/>
        <w:jc w:val="both"/>
        <w:rPr>
          <w:rFonts w:ascii="Segoe UI" w:hAnsi="Segoe UI" w:cs="Segoe UI"/>
          <w:b/>
          <w:bCs/>
          <w:color w:val="002060"/>
          <w:szCs w:val="32"/>
          <w:lang w:eastAsia="en-GB"/>
        </w:rPr>
      </w:pPr>
    </w:p>
    <w:p w14:paraId="12B34AF8" w14:textId="77777777" w:rsidR="00654042" w:rsidRDefault="00654042" w:rsidP="00654042">
      <w:pPr>
        <w:pStyle w:val="AmTrustMainHeader"/>
        <w:jc w:val="both"/>
        <w:rPr>
          <w:rFonts w:ascii="Segoe UI" w:hAnsi="Segoe UI" w:cs="Segoe UI"/>
          <w:b/>
          <w:bCs/>
          <w:color w:val="002060"/>
          <w:szCs w:val="32"/>
          <w:lang w:eastAsia="en-GB"/>
        </w:rPr>
      </w:pPr>
    </w:p>
    <w:p w14:paraId="28FE8CFA" w14:textId="77777777" w:rsidR="00654042" w:rsidRDefault="00654042" w:rsidP="00654042">
      <w:pPr>
        <w:pStyle w:val="AmTrustMainHeader"/>
        <w:jc w:val="both"/>
        <w:rPr>
          <w:rFonts w:ascii="Segoe UI" w:hAnsi="Segoe UI" w:cs="Segoe UI"/>
          <w:b/>
          <w:bCs/>
          <w:color w:val="002060"/>
          <w:szCs w:val="32"/>
          <w:lang w:eastAsia="en-GB"/>
        </w:rPr>
      </w:pPr>
    </w:p>
    <w:p w14:paraId="00A2D055" w14:textId="77777777" w:rsidR="00654042" w:rsidRDefault="00654042" w:rsidP="00654042">
      <w:pPr>
        <w:pStyle w:val="AmTrustMainHeader"/>
        <w:jc w:val="both"/>
        <w:rPr>
          <w:rFonts w:ascii="Segoe UI" w:hAnsi="Segoe UI" w:cs="Segoe UI"/>
          <w:b/>
          <w:bCs/>
          <w:color w:val="002060"/>
          <w:szCs w:val="32"/>
          <w:lang w:eastAsia="en-GB"/>
        </w:rPr>
      </w:pPr>
    </w:p>
    <w:p w14:paraId="7DA50CEE" w14:textId="77777777" w:rsidR="00654042" w:rsidRPr="00654042" w:rsidRDefault="00654042" w:rsidP="00654042">
      <w:pPr>
        <w:spacing w:before="195" w:after="45" w:line="420" w:lineRule="atLeast"/>
        <w:outlineLvl w:val="2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  <w:r w:rsidRPr="00654042"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  <w:lastRenderedPageBreak/>
        <w:t>Morning: Learning, Stakeholders &amp; Business Focus</w:t>
      </w:r>
    </w:p>
    <w:p w14:paraId="3FEE0CBC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 xml:space="preserve">The day often starts with reviewing priorities and checking in on upcoming learning activity. This might include </w:t>
      </w:r>
      <w:proofErr w:type="spellStart"/>
      <w:r w:rsidRPr="00A72F94">
        <w:rPr>
          <w:rFonts w:ascii="Aptos" w:hAnsi="Aptos" w:cs="Segoe UI"/>
          <w:color w:val="424242"/>
          <w:lang w:eastAsia="en-GB"/>
        </w:rPr>
        <w:t>finalising</w:t>
      </w:r>
      <w:proofErr w:type="spellEnd"/>
      <w:r w:rsidRPr="00A72F94">
        <w:rPr>
          <w:rFonts w:ascii="Aptos" w:hAnsi="Aptos" w:cs="Segoe UI"/>
          <w:color w:val="424242"/>
          <w:lang w:eastAsia="en-GB"/>
        </w:rPr>
        <w:t xml:space="preserve"> materials for a leadership session, reviewing participant feedback from a recent programme, or adjusting content to better align with a business need.</w:t>
      </w:r>
    </w:p>
    <w:p w14:paraId="2A6B4EF5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 xml:space="preserve">You may spend part of the morning partnering with an HRBP or </w:t>
      </w:r>
      <w:r>
        <w:rPr>
          <w:rFonts w:ascii="Aptos" w:hAnsi="Aptos" w:cs="Segoe UI"/>
          <w:color w:val="424242"/>
          <w:lang w:eastAsia="en-GB"/>
        </w:rPr>
        <w:t>manager</w:t>
      </w:r>
      <w:r w:rsidRPr="00A72F94">
        <w:rPr>
          <w:rFonts w:ascii="Aptos" w:hAnsi="Aptos" w:cs="Segoe UI"/>
          <w:color w:val="424242"/>
          <w:lang w:eastAsia="en-GB"/>
        </w:rPr>
        <w:t xml:space="preserve"> to better understand what a team is trying to achieve — whether that’s improving capability, embedding a change, or supporting performance. These conversations help ensure learning solutions are practical, relevant and clearly linked to business and commercial outcomes.</w:t>
      </w:r>
    </w:p>
    <w:p w14:paraId="71C0CB7E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On some days, you’ll be facilitating or co</w:t>
      </w:r>
      <w:r w:rsidRPr="00A72F94">
        <w:rPr>
          <w:rFonts w:ascii="Aptos" w:hAnsi="Aptos" w:cs="Segoe UI"/>
          <w:color w:val="424242"/>
          <w:lang w:eastAsia="en-GB"/>
        </w:rPr>
        <w:noBreakHyphen/>
        <w:t>facilitating a training session — either virtually or face</w:t>
      </w:r>
      <w:r w:rsidRPr="00A72F94">
        <w:rPr>
          <w:rFonts w:ascii="Aptos" w:hAnsi="Aptos" w:cs="Segoe UI"/>
          <w:color w:val="424242"/>
          <w:lang w:eastAsia="en-GB"/>
        </w:rPr>
        <w:noBreakHyphen/>
        <w:t>to</w:t>
      </w:r>
      <w:r w:rsidRPr="00A72F94">
        <w:rPr>
          <w:rFonts w:ascii="Aptos" w:hAnsi="Aptos" w:cs="Segoe UI"/>
          <w:color w:val="424242"/>
          <w:lang w:eastAsia="en-GB"/>
        </w:rPr>
        <w:noBreakHyphen/>
        <w:t>face — bringing energy, clarity and relevance to the room and helping learners connect development activity to their role and goals.</w:t>
      </w:r>
    </w:p>
    <w:p w14:paraId="0C4B8D59" w14:textId="77777777" w:rsidR="00654042" w:rsidRPr="00A72F94" w:rsidRDefault="004A2DE9" w:rsidP="00654042">
      <w:pPr>
        <w:spacing w:before="345" w:after="345" w:line="420" w:lineRule="atLeast"/>
        <w:jc w:val="both"/>
        <w:rPr>
          <w:rFonts w:ascii="Aptos" w:hAnsi="Aptos" w:cs="Segoe UI"/>
          <w:color w:val="424242"/>
          <w:lang w:eastAsia="en-GB"/>
        </w:rPr>
      </w:pPr>
      <w:r>
        <w:rPr>
          <w:rFonts w:ascii="Aptos" w:hAnsi="Aptos" w:cs="Segoe UI"/>
          <w:color w:val="424242"/>
          <w:lang w:eastAsia="en-GB"/>
        </w:rPr>
        <w:pict w14:anchorId="15316ED5">
          <v:rect id="_x0000_i1026" style="width:8in;height:0" o:hrpct="0" o:hralign="center" o:hrstd="t" o:hr="t" fillcolor="#a0a0a0" stroked="f"/>
        </w:pict>
      </w:r>
    </w:p>
    <w:p w14:paraId="497A4A73" w14:textId="77777777" w:rsidR="00654042" w:rsidRPr="00654042" w:rsidRDefault="00654042" w:rsidP="00654042">
      <w:pPr>
        <w:spacing w:before="195" w:after="45" w:line="420" w:lineRule="atLeast"/>
        <w:outlineLvl w:val="2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  <w:r w:rsidRPr="00654042"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  <w:t>Midday: Talent Experience &amp; Engagement</w:t>
      </w:r>
    </w:p>
    <w:p w14:paraId="738703AD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Midday might involve working on talent experience or engagement activity. This could include:</w:t>
      </w:r>
    </w:p>
    <w:p w14:paraId="1DA50540" w14:textId="77777777" w:rsidR="00654042" w:rsidRPr="00A72F94" w:rsidRDefault="00654042" w:rsidP="00654042">
      <w:pPr>
        <w:numPr>
          <w:ilvl w:val="0"/>
          <w:numId w:val="43"/>
        </w:numPr>
        <w:spacing w:before="100" w:beforeAutospacing="1" w:after="100" w:afterAutospacing="1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Supporting onboarding or early</w:t>
      </w:r>
      <w:r w:rsidRPr="00A72F94">
        <w:rPr>
          <w:rFonts w:ascii="Aptos" w:hAnsi="Aptos" w:cs="Segoe UI"/>
          <w:color w:val="424242"/>
          <w:lang w:eastAsia="en-GB"/>
        </w:rPr>
        <w:noBreakHyphen/>
        <w:t>career development initiatives</w:t>
      </w:r>
    </w:p>
    <w:p w14:paraId="5EC73666" w14:textId="77777777" w:rsidR="00654042" w:rsidRPr="00A72F94" w:rsidRDefault="00654042" w:rsidP="00654042">
      <w:pPr>
        <w:numPr>
          <w:ilvl w:val="0"/>
          <w:numId w:val="43"/>
        </w:numPr>
        <w:spacing w:before="100" w:beforeAutospacing="1" w:after="100" w:afterAutospacing="1" w:line="420" w:lineRule="atLeast"/>
        <w:jc w:val="both"/>
        <w:rPr>
          <w:rFonts w:ascii="Aptos" w:hAnsi="Aptos" w:cs="Segoe UI"/>
          <w:color w:val="424242"/>
          <w:lang w:eastAsia="en-GB"/>
        </w:rPr>
      </w:pPr>
      <w:proofErr w:type="spellStart"/>
      <w:r w:rsidRPr="00A72F94">
        <w:rPr>
          <w:rFonts w:ascii="Aptos" w:hAnsi="Aptos" w:cs="Segoe UI"/>
          <w:color w:val="424242"/>
          <w:lang w:eastAsia="en-GB"/>
        </w:rPr>
        <w:t>Analysing</w:t>
      </w:r>
      <w:proofErr w:type="spellEnd"/>
      <w:r w:rsidRPr="00A72F94">
        <w:rPr>
          <w:rFonts w:ascii="Aptos" w:hAnsi="Aptos" w:cs="Segoe UI"/>
          <w:color w:val="424242"/>
          <w:lang w:eastAsia="en-GB"/>
        </w:rPr>
        <w:t xml:space="preserve"> engagement or pulse survey data</w:t>
      </w:r>
    </w:p>
    <w:p w14:paraId="1B7ED234" w14:textId="77777777" w:rsidR="00654042" w:rsidRPr="00A72F94" w:rsidRDefault="00654042" w:rsidP="00654042">
      <w:pPr>
        <w:numPr>
          <w:ilvl w:val="0"/>
          <w:numId w:val="43"/>
        </w:numPr>
        <w:spacing w:before="100" w:beforeAutospacing="1" w:after="100" w:afterAutospacing="1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Preparing insights or recommendations to support action planning</w:t>
      </w:r>
    </w:p>
    <w:p w14:paraId="6B52E4FD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You’ll often collaborate closely with colleagues in HR and Communications to ensure learning, engagement and experience initiatives are joined up and clearly communicated to employees.</w:t>
      </w:r>
    </w:p>
    <w:p w14:paraId="66279E6A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 xml:space="preserve">This part of the role is about looking beyond individual </w:t>
      </w:r>
      <w:proofErr w:type="spellStart"/>
      <w:r w:rsidRPr="00A72F94">
        <w:rPr>
          <w:rFonts w:ascii="Aptos" w:hAnsi="Aptos" w:cs="Segoe UI"/>
          <w:color w:val="424242"/>
          <w:lang w:eastAsia="en-GB"/>
        </w:rPr>
        <w:t>programmes</w:t>
      </w:r>
      <w:proofErr w:type="spellEnd"/>
      <w:r w:rsidRPr="00A72F94">
        <w:rPr>
          <w:rFonts w:ascii="Aptos" w:hAnsi="Aptos" w:cs="Segoe UI"/>
          <w:color w:val="424242"/>
          <w:lang w:eastAsia="en-GB"/>
        </w:rPr>
        <w:t xml:space="preserve"> and thinking about the </w:t>
      </w:r>
      <w:r w:rsidRPr="00A72F94">
        <w:rPr>
          <w:rFonts w:ascii="Aptos" w:hAnsi="Aptos" w:cs="Segoe UI"/>
          <w:b/>
          <w:bCs/>
          <w:color w:val="424242"/>
          <w:lang w:eastAsia="en-GB"/>
        </w:rPr>
        <w:t>end</w:t>
      </w:r>
      <w:r w:rsidRPr="00A72F94">
        <w:rPr>
          <w:rFonts w:ascii="Aptos" w:hAnsi="Aptos" w:cs="Segoe UI"/>
          <w:b/>
          <w:bCs/>
          <w:color w:val="424242"/>
          <w:lang w:eastAsia="en-GB"/>
        </w:rPr>
        <w:noBreakHyphen/>
        <w:t>to</w:t>
      </w:r>
      <w:r w:rsidRPr="00A72F94">
        <w:rPr>
          <w:rFonts w:ascii="Aptos" w:hAnsi="Aptos" w:cs="Segoe UI"/>
          <w:b/>
          <w:bCs/>
          <w:color w:val="424242"/>
          <w:lang w:eastAsia="en-GB"/>
        </w:rPr>
        <w:noBreakHyphen/>
        <w:t>end employee experience</w:t>
      </w:r>
      <w:r w:rsidRPr="00A72F94">
        <w:rPr>
          <w:rFonts w:ascii="Aptos" w:hAnsi="Aptos" w:cs="Segoe UI"/>
          <w:color w:val="424242"/>
          <w:lang w:eastAsia="en-GB"/>
        </w:rPr>
        <w:t>, helping make it more consistent, inclusive and impactful.</w:t>
      </w:r>
    </w:p>
    <w:p w14:paraId="18F546EA" w14:textId="77777777" w:rsidR="00654042" w:rsidRPr="00A72F94" w:rsidRDefault="004A2DE9" w:rsidP="00654042">
      <w:pPr>
        <w:spacing w:before="345" w:after="345" w:line="420" w:lineRule="atLeast"/>
        <w:jc w:val="both"/>
        <w:rPr>
          <w:rFonts w:ascii="Aptos" w:hAnsi="Aptos" w:cs="Segoe UI"/>
          <w:color w:val="424242"/>
          <w:lang w:eastAsia="en-GB"/>
        </w:rPr>
      </w:pPr>
      <w:r>
        <w:rPr>
          <w:rFonts w:ascii="Aptos" w:hAnsi="Aptos" w:cs="Segoe UI"/>
          <w:color w:val="424242"/>
          <w:lang w:eastAsia="en-GB"/>
        </w:rPr>
        <w:pict w14:anchorId="24759887">
          <v:rect id="_x0000_i1027" style="width:8in;height:0" o:hrpct="0" o:hralign="center" o:hrstd="t" o:hr="t" fillcolor="#a0a0a0" stroked="f"/>
        </w:pict>
      </w:r>
    </w:p>
    <w:p w14:paraId="14AE42E5" w14:textId="77777777" w:rsidR="00654042" w:rsidRPr="00654042" w:rsidRDefault="00654042" w:rsidP="00654042">
      <w:pPr>
        <w:spacing w:before="195" w:after="45" w:line="420" w:lineRule="atLeast"/>
        <w:jc w:val="both"/>
        <w:outlineLvl w:val="2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  <w:r w:rsidRPr="00654042"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  <w:t>Afternoon: Design, Evaluation &amp; Continuous Improvement</w:t>
      </w:r>
    </w:p>
    <w:p w14:paraId="7C491465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Afternoons are often focused on development and improvement work. This might include:</w:t>
      </w:r>
    </w:p>
    <w:p w14:paraId="1AA0524B" w14:textId="77777777" w:rsidR="00654042" w:rsidRPr="00A72F94" w:rsidRDefault="00654042" w:rsidP="00654042">
      <w:pPr>
        <w:numPr>
          <w:ilvl w:val="0"/>
          <w:numId w:val="44"/>
        </w:numPr>
        <w:spacing w:before="100" w:beforeAutospacing="1" w:after="100" w:afterAutospacing="1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Designing or refining learning content</w:t>
      </w:r>
    </w:p>
    <w:p w14:paraId="1381B46E" w14:textId="77777777" w:rsidR="00654042" w:rsidRPr="00A72F94" w:rsidRDefault="00654042" w:rsidP="00654042">
      <w:pPr>
        <w:numPr>
          <w:ilvl w:val="0"/>
          <w:numId w:val="44"/>
        </w:numPr>
        <w:spacing w:before="100" w:beforeAutospacing="1" w:after="100" w:afterAutospacing="1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Supporting evaluation of learning impact beyond satisfaction scores</w:t>
      </w:r>
    </w:p>
    <w:p w14:paraId="71F3A7BD" w14:textId="77777777" w:rsidR="00654042" w:rsidRPr="00A72F94" w:rsidRDefault="00654042" w:rsidP="00654042">
      <w:pPr>
        <w:numPr>
          <w:ilvl w:val="0"/>
          <w:numId w:val="44"/>
        </w:numPr>
        <w:spacing w:before="100" w:beforeAutospacing="1" w:after="100" w:afterAutospacing="1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Reviewing how learning is being applied in teams</w:t>
      </w:r>
    </w:p>
    <w:p w14:paraId="2B76FE50" w14:textId="77777777" w:rsidR="00654042" w:rsidRPr="00A72F94" w:rsidRDefault="00654042" w:rsidP="00654042">
      <w:pPr>
        <w:numPr>
          <w:ilvl w:val="0"/>
          <w:numId w:val="44"/>
        </w:numPr>
        <w:spacing w:before="100" w:beforeAutospacing="1" w:after="100" w:afterAutospacing="1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Identifying opportunities to improve learner experience or effectiveness</w:t>
      </w:r>
    </w:p>
    <w:p w14:paraId="0F071842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 xml:space="preserve">You’ll work closely with the Head of Talent </w:t>
      </w:r>
      <w:r>
        <w:rPr>
          <w:rFonts w:ascii="Aptos" w:hAnsi="Aptos" w:cs="Segoe UI"/>
          <w:color w:val="424242"/>
          <w:lang w:eastAsia="en-GB"/>
        </w:rPr>
        <w:t xml:space="preserve">Experience &amp; Development </w:t>
      </w:r>
      <w:r w:rsidRPr="00A72F94">
        <w:rPr>
          <w:rFonts w:ascii="Aptos" w:hAnsi="Aptos" w:cs="Segoe UI"/>
          <w:color w:val="424242"/>
          <w:lang w:eastAsia="en-GB"/>
        </w:rPr>
        <w:t>on programme updates, insights and priorities — helping translate strategy into delivery, while flagging risks, opportunities or improvements.</w:t>
      </w:r>
    </w:p>
    <w:p w14:paraId="1E3A639C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This is also where the commercial lens comes to life: using feedback, insight and data to help demonstrate value, improve outcomes and ensure development activity supports performance, engagement and retention.</w:t>
      </w:r>
    </w:p>
    <w:p w14:paraId="410C2406" w14:textId="77777777" w:rsidR="00654042" w:rsidRPr="00A72F94" w:rsidRDefault="004A2DE9" w:rsidP="00654042">
      <w:pPr>
        <w:spacing w:before="345" w:after="345" w:line="420" w:lineRule="atLeast"/>
        <w:jc w:val="both"/>
        <w:rPr>
          <w:rFonts w:ascii="Aptos" w:hAnsi="Aptos" w:cs="Segoe UI"/>
          <w:color w:val="424242"/>
          <w:lang w:eastAsia="en-GB"/>
        </w:rPr>
      </w:pPr>
      <w:r>
        <w:rPr>
          <w:rFonts w:ascii="Aptos" w:hAnsi="Aptos" w:cs="Segoe UI"/>
          <w:color w:val="424242"/>
          <w:lang w:eastAsia="en-GB"/>
        </w:rPr>
        <w:pict w14:anchorId="4E6940E5">
          <v:rect id="_x0000_i1028" style="width:8in;height:0" o:hrpct="0" o:hralign="center" o:hrstd="t" o:hr="t" fillcolor="#a0a0a0" stroked="f"/>
        </w:pict>
      </w:r>
    </w:p>
    <w:p w14:paraId="09CED78B" w14:textId="77777777" w:rsidR="00654042" w:rsidRPr="00654042" w:rsidRDefault="00654042" w:rsidP="00654042">
      <w:pPr>
        <w:spacing w:before="195" w:after="45" w:line="420" w:lineRule="atLeast"/>
        <w:jc w:val="both"/>
        <w:outlineLvl w:val="2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  <w:r w:rsidRPr="00654042"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  <w:t>End of Day: Planning &amp; Collaboration</w:t>
      </w:r>
    </w:p>
    <w:p w14:paraId="5F2FAF69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 xml:space="preserve">Toward the end of the day, you may be planning upcoming sessions, coordinating with stakeholders, or contributing to wider People projects. You’ll </w:t>
      </w:r>
      <w:proofErr w:type="spellStart"/>
      <w:r w:rsidRPr="00A72F94">
        <w:rPr>
          <w:rFonts w:ascii="Aptos" w:hAnsi="Aptos" w:cs="Segoe UI"/>
          <w:color w:val="424242"/>
          <w:lang w:eastAsia="en-GB"/>
        </w:rPr>
        <w:t>prioritise</w:t>
      </w:r>
      <w:proofErr w:type="spellEnd"/>
      <w:r w:rsidRPr="00A72F94">
        <w:rPr>
          <w:rFonts w:ascii="Aptos" w:hAnsi="Aptos" w:cs="Segoe UI"/>
          <w:color w:val="424242"/>
          <w:lang w:eastAsia="en-GB"/>
        </w:rPr>
        <w:t xml:space="preserve">, document progress and make sure delivery is aligned, </w:t>
      </w:r>
      <w:proofErr w:type="spellStart"/>
      <w:r w:rsidRPr="00A72F94">
        <w:rPr>
          <w:rFonts w:ascii="Aptos" w:hAnsi="Aptos" w:cs="Segoe UI"/>
          <w:color w:val="424242"/>
          <w:lang w:eastAsia="en-GB"/>
        </w:rPr>
        <w:t>organised</w:t>
      </w:r>
      <w:proofErr w:type="spellEnd"/>
      <w:r w:rsidRPr="00A72F94">
        <w:rPr>
          <w:rFonts w:ascii="Aptos" w:hAnsi="Aptos" w:cs="Segoe UI"/>
          <w:color w:val="424242"/>
          <w:lang w:eastAsia="en-GB"/>
        </w:rPr>
        <w:t xml:space="preserve"> and risk</w:t>
      </w:r>
      <w:r w:rsidRPr="00A72F94">
        <w:rPr>
          <w:rFonts w:ascii="Aptos" w:hAnsi="Aptos" w:cs="Segoe UI"/>
          <w:color w:val="424242"/>
          <w:lang w:eastAsia="en-GB"/>
        </w:rPr>
        <w:noBreakHyphen/>
        <w:t>aware.</w:t>
      </w:r>
    </w:p>
    <w:p w14:paraId="436926A9" w14:textId="77777777" w:rsidR="00654042" w:rsidRPr="00A72F94" w:rsidRDefault="00654042" w:rsidP="00654042">
      <w:pPr>
        <w:spacing w:before="120" w:after="60" w:line="420" w:lineRule="atLeast"/>
        <w:jc w:val="both"/>
        <w:rPr>
          <w:rFonts w:ascii="Aptos" w:hAnsi="Aptos" w:cs="Segoe UI"/>
          <w:color w:val="424242"/>
          <w:lang w:eastAsia="en-GB"/>
        </w:rPr>
      </w:pPr>
      <w:r w:rsidRPr="00A72F94">
        <w:rPr>
          <w:rFonts w:ascii="Aptos" w:hAnsi="Aptos" w:cs="Segoe UI"/>
          <w:color w:val="424242"/>
          <w:lang w:eastAsia="en-GB"/>
        </w:rPr>
        <w:t>Throughout the day, collaboration is key — with HR colleagues, managers, facilitators and employees — all with the shared goal of building capability, supporting performance and improving the employee experience.</w:t>
      </w:r>
    </w:p>
    <w:p w14:paraId="33FD013B" w14:textId="77777777" w:rsidR="00654042" w:rsidRPr="00A72F94" w:rsidRDefault="004A2DE9" w:rsidP="00654042">
      <w:pPr>
        <w:spacing w:before="345" w:after="345" w:line="420" w:lineRule="atLeast"/>
        <w:jc w:val="both"/>
        <w:rPr>
          <w:rFonts w:ascii="Aptos" w:hAnsi="Aptos" w:cs="Segoe UI"/>
          <w:color w:val="424242"/>
          <w:lang w:eastAsia="en-GB"/>
        </w:rPr>
      </w:pPr>
      <w:r>
        <w:rPr>
          <w:rFonts w:ascii="Aptos" w:hAnsi="Aptos" w:cs="Segoe UI"/>
          <w:color w:val="424242"/>
          <w:lang w:eastAsia="en-GB"/>
        </w:rPr>
        <w:pict w14:anchorId="36EB6077">
          <v:rect id="_x0000_i1029" style="width:8in;height:0" o:hrpct="0" o:hralign="center" o:hrstd="t" o:hr="t" fillcolor="#a0a0a0" stroked="f"/>
        </w:pict>
      </w:r>
    </w:p>
    <w:p w14:paraId="0C24F420" w14:textId="77777777" w:rsidR="00654042" w:rsidRDefault="00654042" w:rsidP="00654042">
      <w:pPr>
        <w:jc w:val="both"/>
      </w:pPr>
    </w:p>
    <w:p w14:paraId="1A2FE4CF" w14:textId="77777777" w:rsidR="00654042" w:rsidRDefault="00654042" w:rsidP="00654042">
      <w:p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</w:p>
    <w:p w14:paraId="015A3717" w14:textId="77777777" w:rsidR="00654042" w:rsidRDefault="00654042" w:rsidP="00654042">
      <w:p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</w:p>
    <w:p w14:paraId="125A8D03" w14:textId="77777777" w:rsidR="001C2690" w:rsidRPr="00C6218C" w:rsidRDefault="0019731B" w:rsidP="00654042">
      <w:pPr>
        <w:pStyle w:val="AmTrustMainHeader"/>
        <w:jc w:val="both"/>
        <w:rPr>
          <w:rFonts w:ascii="Segoe UI" w:hAnsi="Segoe UI" w:cs="Segoe UI"/>
          <w:b/>
          <w:bCs/>
          <w:color w:val="002060"/>
          <w:szCs w:val="32"/>
          <w:lang w:eastAsia="en-GB"/>
        </w:rPr>
      </w:pPr>
      <w:r w:rsidRPr="00C6218C">
        <w:rPr>
          <w:rFonts w:ascii="Segoe UI" w:hAnsi="Segoe UI" w:cs="Segoe UI"/>
          <w:b/>
          <w:bCs/>
          <w:color w:val="002060"/>
          <w:szCs w:val="32"/>
          <w:lang w:eastAsia="en-GB"/>
        </w:rPr>
        <w:t>Essential Job Functions</w:t>
      </w:r>
    </w:p>
    <w:p w14:paraId="217FECFA" w14:textId="75F2A228" w:rsidR="00BE238F" w:rsidRDefault="00BE238F" w:rsidP="00654042">
      <w:pPr>
        <w:jc w:val="both"/>
        <w:rPr>
          <w:rFonts w:ascii="Arial" w:hAnsi="Arial" w:cs="Arial"/>
          <w:sz w:val="20"/>
          <w:szCs w:val="20"/>
          <w:lang w:val="en-IE"/>
        </w:rPr>
      </w:pPr>
    </w:p>
    <w:p w14:paraId="461385B0" w14:textId="77777777" w:rsidR="002D695F" w:rsidRPr="00162746" w:rsidRDefault="002D695F" w:rsidP="00654042">
      <w:pPr>
        <w:spacing w:before="100" w:beforeAutospacing="1" w:after="100" w:afterAutospacing="1" w:line="300" w:lineRule="atLeast"/>
        <w:ind w:firstLine="360"/>
        <w:jc w:val="both"/>
        <w:outlineLvl w:val="2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  <w:r w:rsidRPr="00162746"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  <w:t>Learning &amp; Talent Development Delivery</w:t>
      </w:r>
    </w:p>
    <w:p w14:paraId="7464C5F6" w14:textId="77777777" w:rsidR="002D695F" w:rsidRPr="00162746" w:rsidRDefault="002D695F" w:rsidP="00654042">
      <w:pPr>
        <w:numPr>
          <w:ilvl w:val="0"/>
          <w:numId w:val="36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Deliver high</w:t>
      </w:r>
      <w:r w:rsidRPr="00162746">
        <w:rPr>
          <w:rFonts w:ascii="Segoe UI" w:hAnsi="Segoe UI" w:cs="Segoe UI"/>
          <w:sz w:val="21"/>
          <w:szCs w:val="21"/>
          <w:lang w:eastAsia="en-GB"/>
        </w:rPr>
        <w:noBreakHyphen/>
        <w:t>quality learning interventions (virtual and face</w:t>
      </w:r>
      <w:r w:rsidRPr="00162746">
        <w:rPr>
          <w:rFonts w:ascii="Segoe UI" w:hAnsi="Segoe UI" w:cs="Segoe UI"/>
          <w:sz w:val="21"/>
          <w:szCs w:val="21"/>
          <w:lang w:eastAsia="en-GB"/>
        </w:rPr>
        <w:noBreakHyphen/>
        <w:t>to</w:t>
      </w:r>
      <w:r w:rsidRPr="00162746">
        <w:rPr>
          <w:rFonts w:ascii="Segoe UI" w:hAnsi="Segoe UI" w:cs="Segoe UI"/>
          <w:sz w:val="21"/>
          <w:szCs w:val="21"/>
          <w:lang w:eastAsia="en-GB"/>
        </w:rPr>
        <w:noBreakHyphen/>
        <w:t xml:space="preserve">face) across leadership, professional and capability development </w:t>
      </w:r>
      <w:proofErr w:type="spellStart"/>
      <w:r w:rsidRPr="00162746">
        <w:rPr>
          <w:rFonts w:ascii="Segoe UI" w:hAnsi="Segoe UI" w:cs="Segoe UI"/>
          <w:sz w:val="21"/>
          <w:szCs w:val="21"/>
          <w:lang w:eastAsia="en-GB"/>
        </w:rPr>
        <w:t>programmes</w:t>
      </w:r>
      <w:proofErr w:type="spellEnd"/>
      <w:r w:rsidRPr="00162746">
        <w:rPr>
          <w:rFonts w:ascii="Segoe UI" w:hAnsi="Segoe UI" w:cs="Segoe UI"/>
          <w:sz w:val="21"/>
          <w:szCs w:val="21"/>
          <w:lang w:eastAsia="en-GB"/>
        </w:rPr>
        <w:t>.</w:t>
      </w:r>
    </w:p>
    <w:p w14:paraId="590B6E45" w14:textId="1BB3FD9D" w:rsidR="002D695F" w:rsidRPr="00162746" w:rsidRDefault="002D695F" w:rsidP="00654042">
      <w:pPr>
        <w:numPr>
          <w:ilvl w:val="0"/>
          <w:numId w:val="36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Partner with HRBPs, l</w:t>
      </w:r>
      <w:r w:rsidR="00654042">
        <w:rPr>
          <w:rFonts w:ascii="Segoe UI" w:hAnsi="Segoe UI" w:cs="Segoe UI"/>
          <w:sz w:val="21"/>
          <w:szCs w:val="21"/>
          <w:lang w:eastAsia="en-GB"/>
        </w:rPr>
        <w:t>ine managers</w:t>
      </w:r>
      <w:r w:rsidRPr="00162746">
        <w:rPr>
          <w:rFonts w:ascii="Segoe UI" w:hAnsi="Segoe UI" w:cs="Segoe UI"/>
          <w:sz w:val="21"/>
          <w:szCs w:val="21"/>
          <w:lang w:eastAsia="en-GB"/>
        </w:rPr>
        <w:t xml:space="preserve"> and subject matter experts to identify learning needs and translate them into effective development solutions.</w:t>
      </w:r>
    </w:p>
    <w:p w14:paraId="2692294E" w14:textId="77777777" w:rsidR="002D695F" w:rsidRPr="00162746" w:rsidRDefault="002D695F" w:rsidP="00654042">
      <w:pPr>
        <w:numPr>
          <w:ilvl w:val="0"/>
          <w:numId w:val="36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Support the continuous review and enhancement of existing learning </w:t>
      </w:r>
      <w:proofErr w:type="spellStart"/>
      <w:r w:rsidRPr="00162746">
        <w:rPr>
          <w:rFonts w:ascii="Segoe UI" w:hAnsi="Segoe UI" w:cs="Segoe UI"/>
          <w:sz w:val="21"/>
          <w:szCs w:val="21"/>
          <w:lang w:eastAsia="en-GB"/>
        </w:rPr>
        <w:t>programmes</w:t>
      </w:r>
      <w:proofErr w:type="spellEnd"/>
      <w:r w:rsidRPr="00162746">
        <w:rPr>
          <w:rFonts w:ascii="Segoe UI" w:hAnsi="Segoe UI" w:cs="Segoe UI"/>
          <w:sz w:val="21"/>
          <w:szCs w:val="21"/>
          <w:lang w:eastAsia="en-GB"/>
        </w:rPr>
        <w:t xml:space="preserve"> to improve learner experience, application and impact.</w:t>
      </w:r>
    </w:p>
    <w:p w14:paraId="50475FD0" w14:textId="77777777" w:rsidR="002D695F" w:rsidRPr="00162746" w:rsidRDefault="002D695F" w:rsidP="00654042">
      <w:pPr>
        <w:numPr>
          <w:ilvl w:val="0"/>
          <w:numId w:val="36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Curate and coordinate blended learning solutions, working with instructional designers and external providers as required.</w:t>
      </w:r>
    </w:p>
    <w:p w14:paraId="5D339D88" w14:textId="77777777" w:rsidR="002D695F" w:rsidRPr="00162746" w:rsidRDefault="002D695F" w:rsidP="00654042">
      <w:pPr>
        <w:numPr>
          <w:ilvl w:val="0"/>
          <w:numId w:val="36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Ensure learning </w:t>
      </w:r>
      <w:proofErr w:type="spellStart"/>
      <w:r w:rsidRPr="00162746">
        <w:rPr>
          <w:rFonts w:ascii="Segoe UI" w:hAnsi="Segoe UI" w:cs="Segoe UI"/>
          <w:sz w:val="21"/>
          <w:szCs w:val="21"/>
          <w:lang w:eastAsia="en-GB"/>
        </w:rPr>
        <w:t>programmes</w:t>
      </w:r>
      <w:proofErr w:type="spellEnd"/>
      <w:r w:rsidRPr="00162746">
        <w:rPr>
          <w:rFonts w:ascii="Segoe UI" w:hAnsi="Segoe UI" w:cs="Segoe UI"/>
          <w:sz w:val="21"/>
          <w:szCs w:val="21"/>
          <w:lang w:eastAsia="en-GB"/>
        </w:rPr>
        <w:t xml:space="preserve"> are practical, relevant and focused on real</w:t>
      </w:r>
      <w:r w:rsidRPr="00162746">
        <w:rPr>
          <w:rFonts w:ascii="Segoe UI" w:hAnsi="Segoe UI" w:cs="Segoe UI"/>
          <w:sz w:val="21"/>
          <w:szCs w:val="21"/>
          <w:lang w:eastAsia="en-GB"/>
        </w:rPr>
        <w:noBreakHyphen/>
        <w:t>world application.</w:t>
      </w:r>
    </w:p>
    <w:p w14:paraId="2C53A5B9" w14:textId="77777777" w:rsidR="002D695F" w:rsidRDefault="004A2DE9" w:rsidP="00654042">
      <w:pPr>
        <w:spacing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2B44E842">
          <v:rect id="_x0000_i1030" style="width:0;height:1.5pt" o:hralign="center" o:hrstd="t" o:hr="t" fillcolor="#a0a0a0" stroked="f"/>
        </w:pict>
      </w:r>
    </w:p>
    <w:p w14:paraId="20098133" w14:textId="77777777" w:rsidR="002D695F" w:rsidRPr="00162746" w:rsidRDefault="002D695F" w:rsidP="00654042">
      <w:pPr>
        <w:spacing w:before="100" w:beforeAutospacing="1" w:after="100" w:afterAutospacing="1" w:line="300" w:lineRule="atLeast"/>
        <w:ind w:firstLine="360"/>
        <w:jc w:val="both"/>
        <w:outlineLvl w:val="2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  <w:r w:rsidRPr="00162746"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  <w:t>Commercial Alignment &amp; Impact</w:t>
      </w:r>
    </w:p>
    <w:p w14:paraId="27AE56F3" w14:textId="77777777" w:rsidR="002D695F" w:rsidRPr="00162746" w:rsidRDefault="002D695F" w:rsidP="00654042">
      <w:pPr>
        <w:numPr>
          <w:ilvl w:val="0"/>
          <w:numId w:val="37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Support the alignment of learning activity to business and commercial outcomes such as performance, productivity, quality and retention.</w:t>
      </w:r>
    </w:p>
    <w:p w14:paraId="664A5E73" w14:textId="77777777" w:rsidR="002D695F" w:rsidRPr="00162746" w:rsidRDefault="002D695F" w:rsidP="00654042">
      <w:pPr>
        <w:numPr>
          <w:ilvl w:val="0"/>
          <w:numId w:val="37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Work with stakeholders to understand how learning supports functional and operational goals.</w:t>
      </w:r>
    </w:p>
    <w:p w14:paraId="4E164821" w14:textId="77777777" w:rsidR="002D695F" w:rsidRPr="00162746" w:rsidRDefault="002D695F" w:rsidP="00654042">
      <w:pPr>
        <w:numPr>
          <w:ilvl w:val="0"/>
          <w:numId w:val="37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Assist in defining clear learning objectives and success measures for </w:t>
      </w:r>
      <w:proofErr w:type="spellStart"/>
      <w:r w:rsidRPr="00162746">
        <w:rPr>
          <w:rFonts w:ascii="Segoe UI" w:hAnsi="Segoe UI" w:cs="Segoe UI"/>
          <w:sz w:val="21"/>
          <w:szCs w:val="21"/>
          <w:lang w:eastAsia="en-GB"/>
        </w:rPr>
        <w:t>programmes</w:t>
      </w:r>
      <w:proofErr w:type="spellEnd"/>
      <w:r w:rsidRPr="00162746">
        <w:rPr>
          <w:rFonts w:ascii="Segoe UI" w:hAnsi="Segoe UI" w:cs="Segoe UI"/>
          <w:sz w:val="21"/>
          <w:szCs w:val="21"/>
          <w:lang w:eastAsia="en-GB"/>
        </w:rPr>
        <w:t>.</w:t>
      </w:r>
    </w:p>
    <w:p w14:paraId="47D9F879" w14:textId="77777777" w:rsidR="002D695F" w:rsidRPr="00162746" w:rsidRDefault="002D695F" w:rsidP="00654042">
      <w:pPr>
        <w:numPr>
          <w:ilvl w:val="0"/>
          <w:numId w:val="37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Gather feedback and data to evaluate learning effectiveness beyond satisfaction, including evidence of capability uplift or </w:t>
      </w:r>
      <w:proofErr w:type="spellStart"/>
      <w:r w:rsidRPr="00162746">
        <w:rPr>
          <w:rFonts w:ascii="Segoe UI" w:hAnsi="Segoe UI" w:cs="Segoe UI"/>
          <w:sz w:val="21"/>
          <w:szCs w:val="21"/>
          <w:lang w:eastAsia="en-GB"/>
        </w:rPr>
        <w:t>behaviour</w:t>
      </w:r>
      <w:proofErr w:type="spellEnd"/>
      <w:r w:rsidRPr="00162746">
        <w:rPr>
          <w:rFonts w:ascii="Segoe UI" w:hAnsi="Segoe UI" w:cs="Segoe UI"/>
          <w:sz w:val="21"/>
          <w:szCs w:val="21"/>
          <w:lang w:eastAsia="en-GB"/>
        </w:rPr>
        <w:t xml:space="preserve"> change.</w:t>
      </w:r>
    </w:p>
    <w:p w14:paraId="101E15AC" w14:textId="3B9048C3" w:rsidR="002D695F" w:rsidRPr="00162746" w:rsidRDefault="002D695F" w:rsidP="00654042">
      <w:pPr>
        <w:numPr>
          <w:ilvl w:val="0"/>
          <w:numId w:val="37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Support the Head of Talent </w:t>
      </w:r>
      <w:r>
        <w:rPr>
          <w:rFonts w:ascii="Segoe UI" w:hAnsi="Segoe UI" w:cs="Segoe UI"/>
          <w:sz w:val="21"/>
          <w:szCs w:val="21"/>
          <w:lang w:eastAsia="en-GB"/>
        </w:rPr>
        <w:t xml:space="preserve">Experience &amp; </w:t>
      </w:r>
      <w:r w:rsidRPr="00162746">
        <w:rPr>
          <w:rFonts w:ascii="Segoe UI" w:hAnsi="Segoe UI" w:cs="Segoe UI"/>
          <w:sz w:val="21"/>
          <w:szCs w:val="21"/>
          <w:lang w:eastAsia="en-GB"/>
        </w:rPr>
        <w:t>Development in demonstrating the value and impact of learning initiatives to the business.</w:t>
      </w:r>
    </w:p>
    <w:p w14:paraId="6D32278C" w14:textId="77777777" w:rsidR="002D695F" w:rsidRPr="00162746" w:rsidRDefault="004A2DE9" w:rsidP="00654042">
      <w:pPr>
        <w:spacing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0D8EE899">
          <v:rect id="_x0000_i1031" style="width:0;height:1.5pt" o:hralign="center" o:hrstd="t" o:hr="t" fillcolor="#a0a0a0" stroked="f"/>
        </w:pict>
      </w:r>
    </w:p>
    <w:p w14:paraId="38240B50" w14:textId="19C589A6" w:rsidR="002D695F" w:rsidRPr="00162746" w:rsidRDefault="002D695F" w:rsidP="00654042">
      <w:pPr>
        <w:spacing w:before="100" w:beforeAutospacing="1" w:after="100" w:afterAutospacing="1" w:line="300" w:lineRule="atLeast"/>
        <w:ind w:firstLine="360"/>
        <w:jc w:val="both"/>
        <w:outlineLvl w:val="2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  <w:r w:rsidRPr="00162746"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  <w:t>Talent Experience &amp; Engagement</w:t>
      </w:r>
    </w:p>
    <w:p w14:paraId="59D2D3CD" w14:textId="397A4A1D" w:rsidR="002D695F" w:rsidRPr="00162746" w:rsidRDefault="002D695F" w:rsidP="00654042">
      <w:pPr>
        <w:numPr>
          <w:ilvl w:val="0"/>
          <w:numId w:val="38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Support the delivery of key </w:t>
      </w:r>
      <w:r>
        <w:rPr>
          <w:rFonts w:ascii="Segoe UI" w:hAnsi="Segoe UI" w:cs="Segoe UI"/>
          <w:sz w:val="21"/>
          <w:szCs w:val="21"/>
          <w:lang w:eastAsia="en-GB"/>
        </w:rPr>
        <w:t xml:space="preserve">engagement </w:t>
      </w:r>
      <w:r w:rsidRPr="00162746">
        <w:rPr>
          <w:rFonts w:ascii="Segoe UI" w:hAnsi="Segoe UI" w:cs="Segoe UI"/>
          <w:sz w:val="21"/>
          <w:szCs w:val="21"/>
          <w:lang w:eastAsia="en-GB"/>
        </w:rPr>
        <w:t>initiatives across the employee lifecycle (e.g. onboarding, development milestones, engagement activities).</w:t>
      </w:r>
    </w:p>
    <w:p w14:paraId="08145437" w14:textId="77777777" w:rsidR="002D695F" w:rsidRPr="00162746" w:rsidRDefault="002D695F" w:rsidP="00654042">
      <w:pPr>
        <w:numPr>
          <w:ilvl w:val="0"/>
          <w:numId w:val="38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Contribute to employee engagement and listening activities, including survey delivery, analysis and action planning support.</w:t>
      </w:r>
    </w:p>
    <w:p w14:paraId="0EEF754F" w14:textId="77777777" w:rsidR="002D695F" w:rsidRPr="00162746" w:rsidRDefault="002D695F" w:rsidP="00654042">
      <w:pPr>
        <w:numPr>
          <w:ilvl w:val="0"/>
          <w:numId w:val="38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Help translate employee feedback and insights into practical, experience-led improvements.</w:t>
      </w:r>
    </w:p>
    <w:p w14:paraId="13741B70" w14:textId="77777777" w:rsidR="002D695F" w:rsidRPr="00162746" w:rsidRDefault="002D695F" w:rsidP="00654042">
      <w:pPr>
        <w:numPr>
          <w:ilvl w:val="0"/>
          <w:numId w:val="38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Support initiatives that strengthen inclusion, belonging, career development and internal mobility.</w:t>
      </w:r>
    </w:p>
    <w:p w14:paraId="684D52F4" w14:textId="77777777" w:rsidR="002D695F" w:rsidRPr="00162746" w:rsidRDefault="002D695F" w:rsidP="00654042">
      <w:pPr>
        <w:numPr>
          <w:ilvl w:val="0"/>
          <w:numId w:val="38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Act as a positive ambassador for AmTrust’s employee experience and culture.</w:t>
      </w:r>
    </w:p>
    <w:p w14:paraId="79744E7A" w14:textId="77777777" w:rsidR="002D695F" w:rsidRPr="00162746" w:rsidRDefault="004A2DE9" w:rsidP="00654042">
      <w:pPr>
        <w:spacing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3E7DE709">
          <v:rect id="_x0000_i1032" style="width:0;height:1.5pt" o:hralign="center" o:hrstd="t" o:hr="t" fillcolor="#a0a0a0" stroked="f"/>
        </w:pict>
      </w:r>
    </w:p>
    <w:p w14:paraId="52D47683" w14:textId="77777777" w:rsidR="00654042" w:rsidRDefault="00654042" w:rsidP="00654042">
      <w:pPr>
        <w:spacing w:before="100" w:beforeAutospacing="1" w:after="100" w:afterAutospacing="1" w:line="300" w:lineRule="atLeast"/>
        <w:ind w:firstLine="360"/>
        <w:jc w:val="both"/>
        <w:outlineLvl w:val="2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</w:p>
    <w:p w14:paraId="7DF3977A" w14:textId="3C458A39" w:rsidR="002D695F" w:rsidRPr="00162746" w:rsidRDefault="002D695F" w:rsidP="00654042">
      <w:pPr>
        <w:spacing w:before="100" w:beforeAutospacing="1" w:after="100" w:afterAutospacing="1" w:line="300" w:lineRule="atLeast"/>
        <w:ind w:firstLine="360"/>
        <w:jc w:val="both"/>
        <w:outlineLvl w:val="2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  <w:r w:rsidRPr="00162746"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  <w:t>Programme &amp; Stakeholder Support</w:t>
      </w:r>
    </w:p>
    <w:p w14:paraId="05071896" w14:textId="77777777" w:rsidR="002D695F" w:rsidRPr="00162746" w:rsidRDefault="002D695F" w:rsidP="00654042">
      <w:pPr>
        <w:numPr>
          <w:ilvl w:val="0"/>
          <w:numId w:val="39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Support the operation and administration of key talent </w:t>
      </w:r>
      <w:proofErr w:type="spellStart"/>
      <w:r w:rsidRPr="00162746">
        <w:rPr>
          <w:rFonts w:ascii="Segoe UI" w:hAnsi="Segoe UI" w:cs="Segoe UI"/>
          <w:sz w:val="21"/>
          <w:szCs w:val="21"/>
          <w:lang w:eastAsia="en-GB"/>
        </w:rPr>
        <w:t>programmes</w:t>
      </w:r>
      <w:proofErr w:type="spellEnd"/>
      <w:r w:rsidRPr="00162746">
        <w:rPr>
          <w:rFonts w:ascii="Segoe UI" w:hAnsi="Segoe UI" w:cs="Segoe UI"/>
          <w:sz w:val="21"/>
          <w:szCs w:val="21"/>
          <w:lang w:eastAsia="en-GB"/>
        </w:rPr>
        <w:t xml:space="preserve"> and platforms (e.g. leadership development, mentoring, talent systems).</w:t>
      </w:r>
    </w:p>
    <w:p w14:paraId="7C46F04E" w14:textId="77777777" w:rsidR="002D695F" w:rsidRPr="00162746" w:rsidRDefault="002D695F" w:rsidP="00654042">
      <w:pPr>
        <w:numPr>
          <w:ilvl w:val="0"/>
          <w:numId w:val="39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Coordinate programme logistics, communications and stakeholder engagement in partnership with HR and Communications.</w:t>
      </w:r>
    </w:p>
    <w:p w14:paraId="487DDAEB" w14:textId="112758BC" w:rsidR="002D695F" w:rsidRPr="00162746" w:rsidRDefault="002D695F" w:rsidP="00654042">
      <w:pPr>
        <w:numPr>
          <w:ilvl w:val="0"/>
          <w:numId w:val="39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Build strong, credible working relationships with </w:t>
      </w:r>
      <w:r>
        <w:rPr>
          <w:rFonts w:ascii="Segoe UI" w:hAnsi="Segoe UI" w:cs="Segoe UI"/>
          <w:sz w:val="21"/>
          <w:szCs w:val="21"/>
          <w:lang w:eastAsia="en-GB"/>
        </w:rPr>
        <w:t xml:space="preserve">line </w:t>
      </w:r>
      <w:r w:rsidRPr="00162746">
        <w:rPr>
          <w:rFonts w:ascii="Segoe UI" w:hAnsi="Segoe UI" w:cs="Segoe UI"/>
          <w:sz w:val="21"/>
          <w:szCs w:val="21"/>
          <w:lang w:eastAsia="en-GB"/>
        </w:rPr>
        <w:t>managers and HR colleagues.</w:t>
      </w:r>
    </w:p>
    <w:p w14:paraId="1F444982" w14:textId="1521C777" w:rsidR="002D695F" w:rsidRPr="00162746" w:rsidRDefault="002D695F" w:rsidP="00654042">
      <w:pPr>
        <w:numPr>
          <w:ilvl w:val="0"/>
          <w:numId w:val="39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Provide guidance and support to employees and </w:t>
      </w:r>
      <w:r>
        <w:rPr>
          <w:rFonts w:ascii="Segoe UI" w:hAnsi="Segoe UI" w:cs="Segoe UI"/>
          <w:sz w:val="21"/>
          <w:szCs w:val="21"/>
          <w:lang w:eastAsia="en-GB"/>
        </w:rPr>
        <w:t xml:space="preserve">line </w:t>
      </w:r>
      <w:r w:rsidRPr="00162746">
        <w:rPr>
          <w:rFonts w:ascii="Segoe UI" w:hAnsi="Segoe UI" w:cs="Segoe UI"/>
          <w:sz w:val="21"/>
          <w:szCs w:val="21"/>
          <w:lang w:eastAsia="en-GB"/>
        </w:rPr>
        <w:t>managers on learning and development opportunities.</w:t>
      </w:r>
    </w:p>
    <w:p w14:paraId="19C4B56E" w14:textId="77777777" w:rsidR="002D695F" w:rsidRDefault="002D695F" w:rsidP="00654042">
      <w:pPr>
        <w:numPr>
          <w:ilvl w:val="0"/>
          <w:numId w:val="39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Contribute to wider People and HR projects aligned to the Group HR and Talent Development strategy.</w:t>
      </w:r>
    </w:p>
    <w:p w14:paraId="2A70EF17" w14:textId="77777777" w:rsidR="002D695F" w:rsidRPr="00162746" w:rsidRDefault="004A2DE9" w:rsidP="00654042">
      <w:pPr>
        <w:spacing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7F15199C">
          <v:rect id="_x0000_i1033" style="width:0;height:1.5pt" o:hralign="center" o:hrstd="t" o:hr="t" fillcolor="#a0a0a0" stroked="f"/>
        </w:pict>
      </w:r>
    </w:p>
    <w:p w14:paraId="359F0832" w14:textId="77777777" w:rsidR="00654042" w:rsidRDefault="00654042" w:rsidP="00654042">
      <w:pPr>
        <w:spacing w:after="200" w:line="276" w:lineRule="auto"/>
        <w:ind w:firstLine="360"/>
        <w:jc w:val="both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</w:p>
    <w:p w14:paraId="49910CB0" w14:textId="3BD35635" w:rsidR="002D695F" w:rsidRPr="00162746" w:rsidRDefault="002D695F" w:rsidP="00654042">
      <w:pPr>
        <w:spacing w:after="200" w:line="276" w:lineRule="auto"/>
        <w:ind w:firstLine="360"/>
        <w:jc w:val="both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  <w:r w:rsidRPr="00162746"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  <w:t>Governance, Risk &amp; Standards</w:t>
      </w:r>
    </w:p>
    <w:p w14:paraId="5CA092C7" w14:textId="77777777" w:rsidR="002D695F" w:rsidRPr="00162746" w:rsidRDefault="002D695F" w:rsidP="00654042">
      <w:pPr>
        <w:numPr>
          <w:ilvl w:val="0"/>
          <w:numId w:val="40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Ensure all learning and experience initiatives comply with AmTrust policies, regulatory expectations and risk management standards.</w:t>
      </w:r>
    </w:p>
    <w:p w14:paraId="172BCA24" w14:textId="77777777" w:rsidR="002D695F" w:rsidRPr="00162746" w:rsidRDefault="002D695F" w:rsidP="00654042">
      <w:pPr>
        <w:numPr>
          <w:ilvl w:val="0"/>
          <w:numId w:val="40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Maintain accurate documentation, evaluation and programme records.</w:t>
      </w:r>
    </w:p>
    <w:p w14:paraId="05F6857F" w14:textId="77777777" w:rsidR="002D695F" w:rsidRPr="00162746" w:rsidRDefault="002D695F" w:rsidP="00654042">
      <w:pPr>
        <w:numPr>
          <w:ilvl w:val="0"/>
          <w:numId w:val="40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Uphold confidentiality, professionalism and ethical standards at all times.</w:t>
      </w:r>
    </w:p>
    <w:p w14:paraId="5D6C1860" w14:textId="77777777" w:rsidR="002D695F" w:rsidRPr="00162746" w:rsidRDefault="002D695F" w:rsidP="00654042">
      <w:pPr>
        <w:numPr>
          <w:ilvl w:val="0"/>
          <w:numId w:val="40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Other duties may be assigned in line with the ongoing needs of the </w:t>
      </w:r>
      <w:proofErr w:type="spellStart"/>
      <w:r w:rsidRPr="00162746">
        <w:rPr>
          <w:rFonts w:ascii="Segoe UI" w:hAnsi="Segoe UI" w:cs="Segoe UI"/>
          <w:sz w:val="21"/>
          <w:szCs w:val="21"/>
          <w:lang w:eastAsia="en-GB"/>
        </w:rPr>
        <w:t>organisation</w:t>
      </w:r>
      <w:proofErr w:type="spellEnd"/>
      <w:r w:rsidRPr="00162746">
        <w:rPr>
          <w:rFonts w:ascii="Segoe UI" w:hAnsi="Segoe UI" w:cs="Segoe UI"/>
          <w:sz w:val="21"/>
          <w:szCs w:val="21"/>
          <w:lang w:eastAsia="en-GB"/>
        </w:rPr>
        <w:t>.</w:t>
      </w:r>
    </w:p>
    <w:p w14:paraId="16F00068" w14:textId="77777777" w:rsidR="002D695F" w:rsidRPr="00162746" w:rsidRDefault="004A2DE9" w:rsidP="00654042">
      <w:pPr>
        <w:spacing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6784719A">
          <v:rect id="_x0000_i1034" style="width:0;height:1.5pt" o:hralign="center" o:hrstd="t" o:hr="t" fillcolor="#a0a0a0" stroked="f"/>
        </w:pict>
      </w:r>
    </w:p>
    <w:p w14:paraId="2F484963" w14:textId="3DEDA636" w:rsidR="00FD3C81" w:rsidRDefault="00FD3C81" w:rsidP="0065404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610E2A53" w14:textId="77777777" w:rsidR="00FD3C81" w:rsidRPr="00FD3C81" w:rsidRDefault="00FD3C81" w:rsidP="0065404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097BDF" w14:textId="77777777" w:rsidR="00B4213B" w:rsidRPr="00C6218C" w:rsidRDefault="004E2278" w:rsidP="00654042">
      <w:pPr>
        <w:spacing w:after="200" w:line="276" w:lineRule="auto"/>
        <w:jc w:val="both"/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</w:pPr>
      <w:r w:rsidRPr="00C6218C"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  <w:t>Qualifications</w:t>
      </w:r>
      <w:r w:rsidR="00B71E32" w:rsidRPr="00C6218C"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  <w:t xml:space="preserve">, </w:t>
      </w:r>
      <w:r w:rsidRPr="00C6218C"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  <w:t>Experience</w:t>
      </w:r>
      <w:r w:rsidR="00B71E32" w:rsidRPr="00C6218C"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  <w:t>, Competence</w:t>
      </w:r>
    </w:p>
    <w:p w14:paraId="7C85C778" w14:textId="77777777" w:rsidR="002D695F" w:rsidRPr="00162746" w:rsidRDefault="002D695F" w:rsidP="00654042">
      <w:pPr>
        <w:numPr>
          <w:ilvl w:val="0"/>
          <w:numId w:val="41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Proven experience in a Learning &amp; Development, Talent Development or People Development role.</w:t>
      </w:r>
    </w:p>
    <w:p w14:paraId="33423C88" w14:textId="77777777" w:rsidR="002D695F" w:rsidRPr="00162746" w:rsidRDefault="002D695F" w:rsidP="00654042">
      <w:pPr>
        <w:numPr>
          <w:ilvl w:val="0"/>
          <w:numId w:val="41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 xml:space="preserve">Experience designing and/or delivering learning </w:t>
      </w:r>
      <w:proofErr w:type="spellStart"/>
      <w:r w:rsidRPr="00162746">
        <w:rPr>
          <w:rFonts w:ascii="Segoe UI" w:hAnsi="Segoe UI" w:cs="Segoe UI"/>
          <w:sz w:val="21"/>
          <w:szCs w:val="21"/>
          <w:lang w:eastAsia="en-GB"/>
        </w:rPr>
        <w:t>programmes</w:t>
      </w:r>
      <w:proofErr w:type="spellEnd"/>
      <w:r w:rsidRPr="00162746">
        <w:rPr>
          <w:rFonts w:ascii="Segoe UI" w:hAnsi="Segoe UI" w:cs="Segoe UI"/>
          <w:sz w:val="21"/>
          <w:szCs w:val="21"/>
          <w:lang w:eastAsia="en-GB"/>
        </w:rPr>
        <w:t xml:space="preserve"> for diverse employee groups.</w:t>
      </w:r>
    </w:p>
    <w:p w14:paraId="4DADD3C4" w14:textId="2A017B13" w:rsidR="002D695F" w:rsidRPr="00162746" w:rsidRDefault="002D695F" w:rsidP="00654042">
      <w:pPr>
        <w:numPr>
          <w:ilvl w:val="0"/>
          <w:numId w:val="41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Experience working with learning platforms or digital learning tools.</w:t>
      </w:r>
    </w:p>
    <w:p w14:paraId="055DC1BC" w14:textId="1B15419A" w:rsidR="002D695F" w:rsidRPr="00162746" w:rsidRDefault="002D695F" w:rsidP="00654042">
      <w:pPr>
        <w:numPr>
          <w:ilvl w:val="0"/>
          <w:numId w:val="41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Exposure to employee engagement or talent experience initiatives</w:t>
      </w:r>
      <w:r>
        <w:rPr>
          <w:rFonts w:ascii="Segoe UI" w:hAnsi="Segoe UI" w:cs="Segoe UI"/>
          <w:sz w:val="21"/>
          <w:szCs w:val="21"/>
          <w:lang w:eastAsia="en-GB"/>
        </w:rPr>
        <w:t xml:space="preserve"> advantageous but not essential.</w:t>
      </w:r>
    </w:p>
    <w:p w14:paraId="7DF18E18" w14:textId="77777777" w:rsidR="002D695F" w:rsidRPr="00162746" w:rsidRDefault="002D695F" w:rsidP="00654042">
      <w:pPr>
        <w:numPr>
          <w:ilvl w:val="0"/>
          <w:numId w:val="41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Financial Services or Insurance sector experience advantageous but not essential.</w:t>
      </w:r>
    </w:p>
    <w:p w14:paraId="60668A73" w14:textId="77777777" w:rsidR="002D695F" w:rsidRPr="00162746" w:rsidRDefault="002D695F" w:rsidP="00654042">
      <w:pPr>
        <w:spacing w:after="200" w:line="276" w:lineRule="auto"/>
        <w:ind w:firstLine="360"/>
        <w:jc w:val="both"/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</w:pPr>
      <w:r w:rsidRPr="00162746">
        <w:rPr>
          <w:rFonts w:ascii="Segoe UI" w:hAnsi="Segoe UI" w:cs="Segoe UI"/>
          <w:b/>
          <w:bCs/>
          <w:color w:val="002060"/>
          <w:sz w:val="22"/>
          <w:szCs w:val="22"/>
          <w:lang w:eastAsia="en-GB"/>
        </w:rPr>
        <w:t>Skills &amp; Capabilities</w:t>
      </w:r>
    </w:p>
    <w:p w14:paraId="58DA39A3" w14:textId="77777777" w:rsidR="002D695F" w:rsidRPr="00162746" w:rsidRDefault="002D695F" w:rsidP="00654042">
      <w:pPr>
        <w:numPr>
          <w:ilvl w:val="0"/>
          <w:numId w:val="42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Strong facilitation and communication skills.</w:t>
      </w:r>
    </w:p>
    <w:p w14:paraId="46E21694" w14:textId="77777777" w:rsidR="002D695F" w:rsidRPr="00162746" w:rsidRDefault="002D695F" w:rsidP="00654042">
      <w:pPr>
        <w:numPr>
          <w:ilvl w:val="0"/>
          <w:numId w:val="42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Ability to translate business needs into practical learning solutions.</w:t>
      </w:r>
    </w:p>
    <w:p w14:paraId="6A8908F9" w14:textId="77777777" w:rsidR="002D695F" w:rsidRPr="00162746" w:rsidRDefault="002D695F" w:rsidP="00654042">
      <w:pPr>
        <w:numPr>
          <w:ilvl w:val="0"/>
          <w:numId w:val="42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proofErr w:type="spellStart"/>
      <w:r w:rsidRPr="00162746">
        <w:rPr>
          <w:rFonts w:ascii="Segoe UI" w:hAnsi="Segoe UI" w:cs="Segoe UI"/>
          <w:sz w:val="21"/>
          <w:szCs w:val="21"/>
          <w:lang w:eastAsia="en-GB"/>
        </w:rPr>
        <w:t>Organised</w:t>
      </w:r>
      <w:proofErr w:type="spellEnd"/>
      <w:r w:rsidRPr="00162746">
        <w:rPr>
          <w:rFonts w:ascii="Segoe UI" w:hAnsi="Segoe UI" w:cs="Segoe UI"/>
          <w:sz w:val="21"/>
          <w:szCs w:val="21"/>
          <w:lang w:eastAsia="en-GB"/>
        </w:rPr>
        <w:t>, delivery</w:t>
      </w:r>
      <w:r w:rsidRPr="00162746">
        <w:rPr>
          <w:rFonts w:ascii="Segoe UI" w:hAnsi="Segoe UI" w:cs="Segoe UI"/>
          <w:sz w:val="21"/>
          <w:szCs w:val="21"/>
          <w:lang w:eastAsia="en-GB"/>
        </w:rPr>
        <w:noBreakHyphen/>
        <w:t>focused and comfortable managing multiple priorities.</w:t>
      </w:r>
    </w:p>
    <w:p w14:paraId="262A372A" w14:textId="77777777" w:rsidR="002D695F" w:rsidRPr="00162746" w:rsidRDefault="002D695F" w:rsidP="00654042">
      <w:pPr>
        <w:numPr>
          <w:ilvl w:val="0"/>
          <w:numId w:val="42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Analytical mindset with the ability to interpret feedback and data.</w:t>
      </w:r>
    </w:p>
    <w:p w14:paraId="3C92FFA7" w14:textId="77777777" w:rsidR="002D695F" w:rsidRPr="00162746" w:rsidRDefault="002D695F" w:rsidP="00654042">
      <w:pPr>
        <w:numPr>
          <w:ilvl w:val="0"/>
          <w:numId w:val="42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Collaborative and stakeholder-oriented.</w:t>
      </w:r>
    </w:p>
    <w:p w14:paraId="6E6688C0" w14:textId="77777777" w:rsidR="002D695F" w:rsidRPr="00162746" w:rsidRDefault="002D695F" w:rsidP="00654042">
      <w:pPr>
        <w:numPr>
          <w:ilvl w:val="0"/>
          <w:numId w:val="42"/>
        </w:numPr>
        <w:spacing w:before="100" w:beforeAutospacing="1" w:after="100" w:afterAutospacing="1"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sz w:val="21"/>
          <w:szCs w:val="21"/>
          <w:lang w:eastAsia="en-GB"/>
        </w:rPr>
        <w:t>Commercial awareness and understanding of how learning drives performance.</w:t>
      </w:r>
    </w:p>
    <w:p w14:paraId="6E991AD8" w14:textId="77777777" w:rsidR="002D695F" w:rsidRPr="00162746" w:rsidRDefault="004A2DE9" w:rsidP="00654042">
      <w:pPr>
        <w:spacing w:line="300" w:lineRule="atLeast"/>
        <w:jc w:val="both"/>
        <w:rPr>
          <w:rFonts w:ascii="Segoe UI" w:hAnsi="Segoe UI" w:cs="Segoe UI"/>
          <w:sz w:val="21"/>
          <w:szCs w:val="21"/>
          <w:lang w:eastAsia="en-GB"/>
        </w:rPr>
      </w:pPr>
      <w:r>
        <w:rPr>
          <w:rFonts w:ascii="Segoe UI" w:hAnsi="Segoe UI" w:cs="Segoe UI"/>
          <w:sz w:val="21"/>
          <w:szCs w:val="21"/>
          <w:lang w:eastAsia="en-GB"/>
        </w:rPr>
        <w:pict w14:anchorId="47B0B041">
          <v:rect id="_x0000_i1035" style="width:0;height:1.5pt" o:hralign="center" o:hrstd="t" o:hr="t" fillcolor="#a0a0a0" stroked="f"/>
        </w:pict>
      </w:r>
    </w:p>
    <w:p w14:paraId="02A7BC4B" w14:textId="77777777" w:rsidR="002D695F" w:rsidRPr="00162746" w:rsidRDefault="002D695F" w:rsidP="00654042">
      <w:pPr>
        <w:spacing w:before="100" w:beforeAutospacing="1" w:after="100" w:afterAutospacing="1" w:line="300" w:lineRule="atLeast"/>
        <w:jc w:val="both"/>
        <w:outlineLvl w:val="1"/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</w:pPr>
      <w:r w:rsidRPr="00162746"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  <w:t xml:space="preserve">Core AmTrust </w:t>
      </w:r>
      <w:proofErr w:type="spellStart"/>
      <w:r w:rsidRPr="00162746"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  <w:t>Behavioural</w:t>
      </w:r>
      <w:proofErr w:type="spellEnd"/>
      <w:r w:rsidRPr="00162746">
        <w:rPr>
          <w:rFonts w:ascii="Segoe UI" w:hAnsi="Segoe UI" w:cs="Segoe UI"/>
          <w:b/>
          <w:bCs/>
          <w:color w:val="002060"/>
          <w:sz w:val="32"/>
          <w:szCs w:val="32"/>
          <w:lang w:eastAsia="en-GB"/>
        </w:rPr>
        <w:t xml:space="preserve"> &amp; Professional Competencies</w:t>
      </w:r>
    </w:p>
    <w:p w14:paraId="6FCCDBEB" w14:textId="77777777" w:rsidR="00654042" w:rsidRDefault="00654042" w:rsidP="00654042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1"/>
          <w:szCs w:val="21"/>
          <w:lang w:eastAsia="en-GB"/>
        </w:rPr>
      </w:pPr>
    </w:p>
    <w:p w14:paraId="77EF4B68" w14:textId="25CE20CB" w:rsidR="002D695F" w:rsidRPr="00162746" w:rsidRDefault="002D695F" w:rsidP="006540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b/>
          <w:bCs/>
          <w:sz w:val="21"/>
          <w:szCs w:val="21"/>
          <w:lang w:eastAsia="en-GB"/>
        </w:rPr>
        <w:t>Results Driven</w:t>
      </w:r>
      <w:r w:rsidRPr="00162746">
        <w:rPr>
          <w:rFonts w:ascii="Segoe UI" w:hAnsi="Segoe UI" w:cs="Segoe UI"/>
          <w:sz w:val="21"/>
          <w:szCs w:val="21"/>
          <w:lang w:eastAsia="en-GB"/>
        </w:rPr>
        <w:br/>
        <w:t>Delivers high</w:t>
      </w:r>
      <w:r w:rsidRPr="00162746">
        <w:rPr>
          <w:rFonts w:ascii="Segoe UI" w:hAnsi="Segoe UI" w:cs="Segoe UI"/>
          <w:sz w:val="21"/>
          <w:szCs w:val="21"/>
          <w:lang w:eastAsia="en-GB"/>
        </w:rPr>
        <w:noBreakHyphen/>
        <w:t>quality outputs with a strong sense of ownership and accountability.</w:t>
      </w:r>
    </w:p>
    <w:p w14:paraId="322CBD89" w14:textId="77777777" w:rsidR="002D695F" w:rsidRPr="00162746" w:rsidRDefault="002D695F" w:rsidP="006540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b/>
          <w:bCs/>
          <w:sz w:val="21"/>
          <w:szCs w:val="21"/>
          <w:lang w:eastAsia="en-GB"/>
        </w:rPr>
        <w:t>Adaptable &amp; Open to Change</w:t>
      </w:r>
      <w:r w:rsidRPr="00162746">
        <w:rPr>
          <w:rFonts w:ascii="Segoe UI" w:hAnsi="Segoe UI" w:cs="Segoe UI"/>
          <w:sz w:val="21"/>
          <w:szCs w:val="21"/>
          <w:lang w:eastAsia="en-GB"/>
        </w:rPr>
        <w:br/>
        <w:t>Responds positively to change and supports continuous improvement.</w:t>
      </w:r>
    </w:p>
    <w:p w14:paraId="796FF8C6" w14:textId="77777777" w:rsidR="002D695F" w:rsidRPr="00162746" w:rsidRDefault="002D695F" w:rsidP="006540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b/>
          <w:bCs/>
          <w:sz w:val="21"/>
          <w:szCs w:val="21"/>
          <w:lang w:eastAsia="en-GB"/>
        </w:rPr>
        <w:t>Relationship Management &amp; Customer Focus</w:t>
      </w:r>
      <w:r w:rsidRPr="00162746">
        <w:rPr>
          <w:rFonts w:ascii="Segoe UI" w:hAnsi="Segoe UI" w:cs="Segoe UI"/>
          <w:sz w:val="21"/>
          <w:szCs w:val="21"/>
          <w:lang w:eastAsia="en-GB"/>
        </w:rPr>
        <w:br/>
        <w:t>Builds effective partnerships and delivers value</w:t>
      </w:r>
      <w:r w:rsidRPr="00162746">
        <w:rPr>
          <w:rFonts w:ascii="Segoe UI" w:hAnsi="Segoe UI" w:cs="Segoe UI"/>
          <w:sz w:val="21"/>
          <w:szCs w:val="21"/>
          <w:lang w:eastAsia="en-GB"/>
        </w:rPr>
        <w:noBreakHyphen/>
        <w:t>adding solutions.</w:t>
      </w:r>
    </w:p>
    <w:p w14:paraId="57A7B31F" w14:textId="77777777" w:rsidR="002D695F" w:rsidRPr="00162746" w:rsidRDefault="002D695F" w:rsidP="006540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b/>
          <w:bCs/>
          <w:sz w:val="21"/>
          <w:szCs w:val="21"/>
          <w:lang w:eastAsia="en-GB"/>
        </w:rPr>
        <w:t>Risk Management</w:t>
      </w:r>
      <w:r w:rsidRPr="00162746">
        <w:rPr>
          <w:rFonts w:ascii="Segoe UI" w:hAnsi="Segoe UI" w:cs="Segoe UI"/>
          <w:sz w:val="21"/>
          <w:szCs w:val="21"/>
          <w:lang w:eastAsia="en-GB"/>
        </w:rPr>
        <w:br/>
        <w:t>Understands and operates within risk and regulatory frameworks.</w:t>
      </w:r>
    </w:p>
    <w:p w14:paraId="578F9B61" w14:textId="77777777" w:rsidR="002D695F" w:rsidRPr="00162746" w:rsidRDefault="002D695F" w:rsidP="006540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b/>
          <w:bCs/>
          <w:sz w:val="21"/>
          <w:szCs w:val="21"/>
          <w:lang w:eastAsia="en-GB"/>
        </w:rPr>
        <w:t>Collaboration</w:t>
      </w:r>
      <w:r w:rsidRPr="00162746">
        <w:rPr>
          <w:rFonts w:ascii="Segoe UI" w:hAnsi="Segoe UI" w:cs="Segoe UI"/>
          <w:sz w:val="21"/>
          <w:szCs w:val="21"/>
          <w:lang w:eastAsia="en-GB"/>
        </w:rPr>
        <w:br/>
        <w:t>Works inclusively and constructively across teams and functions.</w:t>
      </w:r>
    </w:p>
    <w:p w14:paraId="3B48C064" w14:textId="77777777" w:rsidR="002D695F" w:rsidRPr="00162746" w:rsidRDefault="002D695F" w:rsidP="006540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b/>
          <w:bCs/>
          <w:sz w:val="21"/>
          <w:szCs w:val="21"/>
          <w:lang w:eastAsia="en-GB"/>
        </w:rPr>
        <w:t>Continuing Professional Development</w:t>
      </w:r>
      <w:r w:rsidRPr="00162746">
        <w:rPr>
          <w:rFonts w:ascii="Segoe UI" w:hAnsi="Segoe UI" w:cs="Segoe UI"/>
          <w:sz w:val="21"/>
          <w:szCs w:val="21"/>
          <w:lang w:eastAsia="en-GB"/>
        </w:rPr>
        <w:br/>
        <w:t>Actively maintains professional knowledge and capability.</w:t>
      </w:r>
    </w:p>
    <w:p w14:paraId="7109823C" w14:textId="77777777" w:rsidR="002D695F" w:rsidRPr="00162746" w:rsidRDefault="002D695F" w:rsidP="00654042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GB"/>
        </w:rPr>
      </w:pPr>
      <w:r w:rsidRPr="00162746">
        <w:rPr>
          <w:rFonts w:ascii="Segoe UI" w:hAnsi="Segoe UI" w:cs="Segoe UI"/>
          <w:b/>
          <w:bCs/>
          <w:sz w:val="21"/>
          <w:szCs w:val="21"/>
          <w:lang w:eastAsia="en-GB"/>
        </w:rPr>
        <w:t>AmTrust Values</w:t>
      </w:r>
      <w:r w:rsidRPr="00162746">
        <w:rPr>
          <w:rFonts w:ascii="Segoe UI" w:hAnsi="Segoe UI" w:cs="Segoe UI"/>
          <w:sz w:val="21"/>
          <w:szCs w:val="21"/>
          <w:lang w:eastAsia="en-GB"/>
        </w:rPr>
        <w:br/>
        <w:t>Consistently demonstrates Excellence, Innovation, Integrity, Responsibility, Inclusion and Teamwork.</w:t>
      </w:r>
    </w:p>
    <w:sectPr w:rsidR="002D695F" w:rsidRPr="00162746" w:rsidSect="00874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C120" w14:textId="77777777" w:rsidR="00543965" w:rsidRDefault="00543965" w:rsidP="00BC6F89">
      <w:r>
        <w:separator/>
      </w:r>
    </w:p>
  </w:endnote>
  <w:endnote w:type="continuationSeparator" w:id="0">
    <w:p w14:paraId="1902A6A7" w14:textId="77777777" w:rsidR="00543965" w:rsidRDefault="00543965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25C" w14:textId="77777777" w:rsidR="00902FBE" w:rsidRDefault="00902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C6FE" w14:textId="77777777" w:rsidR="00902FBE" w:rsidRDefault="00902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417" w14:textId="77777777" w:rsidR="00902FBE" w:rsidRDefault="00902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C682" w14:textId="77777777" w:rsidR="00543965" w:rsidRDefault="00543965" w:rsidP="00BC6F89">
      <w:r>
        <w:separator/>
      </w:r>
    </w:p>
  </w:footnote>
  <w:footnote w:type="continuationSeparator" w:id="0">
    <w:p w14:paraId="6E6E94A9" w14:textId="77777777" w:rsidR="00543965" w:rsidRDefault="00543965" w:rsidP="00BC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58A4" w14:textId="77777777" w:rsidR="00902FBE" w:rsidRDefault="00902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5EFF" w14:textId="77777777" w:rsidR="00902FBE" w:rsidRDefault="00902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09B9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779B727" wp14:editId="3373FE67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4E71C" w14:textId="77777777" w:rsidR="00874271" w:rsidRDefault="00874271" w:rsidP="00874271">
    <w:pPr>
      <w:pStyle w:val="Header"/>
      <w:jc w:val="center"/>
    </w:pPr>
  </w:p>
  <w:p w14:paraId="7892DC09" w14:textId="77777777" w:rsidR="00874271" w:rsidRDefault="00874271" w:rsidP="006A138A">
    <w:pPr>
      <w:pStyle w:val="Header"/>
      <w:jc w:val="center"/>
      <w:rPr>
        <w:rFonts w:ascii="Arial" w:hAnsi="Arial" w:cs="Arial"/>
      </w:rPr>
    </w:pPr>
    <w:r w:rsidRPr="00874271">
      <w:rPr>
        <w:rFonts w:ascii="Arial" w:hAnsi="Arial" w:cs="Arial"/>
      </w:rPr>
      <w:t xml:space="preserve">AmTrust International – </w:t>
    </w:r>
    <w:r w:rsidR="00C80956">
      <w:rPr>
        <w:rFonts w:ascii="Arial" w:hAnsi="Arial" w:cs="Arial"/>
      </w:rPr>
      <w:t>Role Profile</w:t>
    </w:r>
    <w:r w:rsidR="00BA084B">
      <w:rPr>
        <w:rFonts w:ascii="Arial" w:hAnsi="Arial" w:cs="Arial"/>
      </w:rPr>
      <w:t>/Job Description</w:t>
    </w:r>
    <w:r w:rsidR="00C80956">
      <w:rPr>
        <w:rFonts w:ascii="Arial" w:hAnsi="Arial" w:cs="Arial"/>
      </w:rPr>
      <w:t xml:space="preserve"> </w:t>
    </w:r>
  </w:p>
  <w:p w14:paraId="35102E52" w14:textId="77777777" w:rsidR="006A138A" w:rsidRDefault="006A138A" w:rsidP="006A138A">
    <w:pPr>
      <w:pStyle w:val="Header"/>
      <w:jc w:val="center"/>
      <w:rPr>
        <w:rFonts w:ascii="Arial" w:hAnsi="Arial" w:cs="Arial"/>
      </w:rPr>
    </w:pPr>
  </w:p>
  <w:p w14:paraId="48CDCCBD" w14:textId="77777777" w:rsidR="006A138A" w:rsidRDefault="006A138A" w:rsidP="006A13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F72"/>
    <w:multiLevelType w:val="hybridMultilevel"/>
    <w:tmpl w:val="3C7A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4814"/>
    <w:multiLevelType w:val="multilevel"/>
    <w:tmpl w:val="D71C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75001"/>
    <w:multiLevelType w:val="hybridMultilevel"/>
    <w:tmpl w:val="FFF6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4502C"/>
    <w:multiLevelType w:val="multilevel"/>
    <w:tmpl w:val="F40E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90503"/>
    <w:multiLevelType w:val="multilevel"/>
    <w:tmpl w:val="C7AC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DF6354"/>
    <w:multiLevelType w:val="multilevel"/>
    <w:tmpl w:val="A62EA9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B8535E1"/>
    <w:multiLevelType w:val="multilevel"/>
    <w:tmpl w:val="48E6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A744D3"/>
    <w:multiLevelType w:val="hybridMultilevel"/>
    <w:tmpl w:val="39804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45705D"/>
    <w:multiLevelType w:val="multilevel"/>
    <w:tmpl w:val="F2F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A4DE2"/>
    <w:multiLevelType w:val="multilevel"/>
    <w:tmpl w:val="419E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90C8A"/>
    <w:multiLevelType w:val="hybridMultilevel"/>
    <w:tmpl w:val="9742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E2ECC"/>
    <w:multiLevelType w:val="multilevel"/>
    <w:tmpl w:val="FAC8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1D4BAF"/>
    <w:multiLevelType w:val="multilevel"/>
    <w:tmpl w:val="6E5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2E2CC4"/>
    <w:multiLevelType w:val="hybridMultilevel"/>
    <w:tmpl w:val="38881E46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5519E"/>
    <w:multiLevelType w:val="hybridMultilevel"/>
    <w:tmpl w:val="A40A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70770EB"/>
    <w:multiLevelType w:val="hybridMultilevel"/>
    <w:tmpl w:val="8BBC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A73B0"/>
    <w:multiLevelType w:val="hybridMultilevel"/>
    <w:tmpl w:val="6C5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543835"/>
    <w:multiLevelType w:val="multilevel"/>
    <w:tmpl w:val="09C0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40" w15:restartNumberingAfterBreak="0">
    <w:nsid w:val="74401502"/>
    <w:multiLevelType w:val="hybridMultilevel"/>
    <w:tmpl w:val="54CA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D04B5"/>
    <w:multiLevelType w:val="multilevel"/>
    <w:tmpl w:val="6792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692475">
    <w:abstractNumId w:val="39"/>
  </w:num>
  <w:num w:numId="2" w16cid:durableId="1448037005">
    <w:abstractNumId w:val="5"/>
  </w:num>
  <w:num w:numId="3" w16cid:durableId="633945658">
    <w:abstractNumId w:val="18"/>
  </w:num>
  <w:num w:numId="4" w16cid:durableId="566843918">
    <w:abstractNumId w:val="7"/>
  </w:num>
  <w:num w:numId="5" w16cid:durableId="646398750">
    <w:abstractNumId w:val="14"/>
  </w:num>
  <w:num w:numId="6" w16cid:durableId="2254603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9577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466903">
    <w:abstractNumId w:val="29"/>
  </w:num>
  <w:num w:numId="9" w16cid:durableId="199898120">
    <w:abstractNumId w:val="8"/>
  </w:num>
  <w:num w:numId="10" w16cid:durableId="2100909025">
    <w:abstractNumId w:val="25"/>
  </w:num>
  <w:num w:numId="11" w16cid:durableId="1142966547">
    <w:abstractNumId w:val="35"/>
  </w:num>
  <w:num w:numId="12" w16cid:durableId="1731266939">
    <w:abstractNumId w:val="15"/>
  </w:num>
  <w:num w:numId="13" w16cid:durableId="1290429392">
    <w:abstractNumId w:val="21"/>
  </w:num>
  <w:num w:numId="14" w16cid:durableId="1863856040">
    <w:abstractNumId w:val="12"/>
  </w:num>
  <w:num w:numId="15" w16cid:durableId="1736002793">
    <w:abstractNumId w:val="41"/>
  </w:num>
  <w:num w:numId="16" w16cid:durableId="572741234">
    <w:abstractNumId w:val="36"/>
  </w:num>
  <w:num w:numId="17" w16cid:durableId="1807699372">
    <w:abstractNumId w:val="31"/>
  </w:num>
  <w:num w:numId="18" w16cid:durableId="508105012">
    <w:abstractNumId w:val="4"/>
  </w:num>
  <w:num w:numId="19" w16cid:durableId="1072656167">
    <w:abstractNumId w:val="37"/>
  </w:num>
  <w:num w:numId="20" w16cid:durableId="994799593">
    <w:abstractNumId w:val="22"/>
  </w:num>
  <w:num w:numId="21" w16cid:durableId="1761103407">
    <w:abstractNumId w:val="9"/>
  </w:num>
  <w:num w:numId="22" w16cid:durableId="1459644104">
    <w:abstractNumId w:val="38"/>
  </w:num>
  <w:num w:numId="23" w16cid:durableId="65692368">
    <w:abstractNumId w:val="6"/>
  </w:num>
  <w:num w:numId="24" w16cid:durableId="657805164">
    <w:abstractNumId w:val="20"/>
  </w:num>
  <w:num w:numId="25" w16cid:durableId="146435983">
    <w:abstractNumId w:val="30"/>
  </w:num>
  <w:num w:numId="26" w16cid:durableId="2014145150">
    <w:abstractNumId w:val="33"/>
  </w:num>
  <w:num w:numId="27" w16cid:durableId="1094204436">
    <w:abstractNumId w:val="16"/>
  </w:num>
  <w:num w:numId="28" w16cid:durableId="948121350">
    <w:abstractNumId w:val="28"/>
  </w:num>
  <w:num w:numId="29" w16cid:durableId="331228896">
    <w:abstractNumId w:val="0"/>
  </w:num>
  <w:num w:numId="30" w16cid:durableId="972755833">
    <w:abstractNumId w:val="2"/>
  </w:num>
  <w:num w:numId="31" w16cid:durableId="1634826950">
    <w:abstractNumId w:val="27"/>
  </w:num>
  <w:num w:numId="32" w16cid:durableId="451021612">
    <w:abstractNumId w:val="40"/>
  </w:num>
  <w:num w:numId="33" w16cid:durableId="270090085">
    <w:abstractNumId w:val="23"/>
  </w:num>
  <w:num w:numId="34" w16cid:durableId="259223169">
    <w:abstractNumId w:val="11"/>
  </w:num>
  <w:num w:numId="35" w16cid:durableId="2068800150">
    <w:abstractNumId w:val="32"/>
  </w:num>
  <w:num w:numId="36" w16cid:durableId="677079673">
    <w:abstractNumId w:val="13"/>
  </w:num>
  <w:num w:numId="37" w16cid:durableId="2002735374">
    <w:abstractNumId w:val="1"/>
  </w:num>
  <w:num w:numId="38" w16cid:durableId="1508253926">
    <w:abstractNumId w:val="26"/>
  </w:num>
  <w:num w:numId="39" w16cid:durableId="4022282">
    <w:abstractNumId w:val="34"/>
  </w:num>
  <w:num w:numId="40" w16cid:durableId="515388150">
    <w:abstractNumId w:val="19"/>
  </w:num>
  <w:num w:numId="41" w16cid:durableId="2064719856">
    <w:abstractNumId w:val="24"/>
  </w:num>
  <w:num w:numId="42" w16cid:durableId="857235600">
    <w:abstractNumId w:val="42"/>
  </w:num>
  <w:num w:numId="43" w16cid:durableId="1629048590">
    <w:abstractNumId w:val="17"/>
  </w:num>
  <w:num w:numId="44" w16cid:durableId="1342270725">
    <w:abstractNumId w:val="3"/>
  </w:num>
  <w:num w:numId="45" w16cid:durableId="80153564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2279E"/>
    <w:rsid w:val="000363FA"/>
    <w:rsid w:val="00037961"/>
    <w:rsid w:val="00041B89"/>
    <w:rsid w:val="00044B09"/>
    <w:rsid w:val="000511E5"/>
    <w:rsid w:val="00055E1A"/>
    <w:rsid w:val="00056020"/>
    <w:rsid w:val="000565F9"/>
    <w:rsid w:val="00083421"/>
    <w:rsid w:val="00091310"/>
    <w:rsid w:val="00092FA2"/>
    <w:rsid w:val="000950D2"/>
    <w:rsid w:val="00097D7B"/>
    <w:rsid w:val="000A1A25"/>
    <w:rsid w:val="000B67F0"/>
    <w:rsid w:val="000C098F"/>
    <w:rsid w:val="000F4F50"/>
    <w:rsid w:val="0012150B"/>
    <w:rsid w:val="001321D3"/>
    <w:rsid w:val="00137664"/>
    <w:rsid w:val="00143E65"/>
    <w:rsid w:val="00151C66"/>
    <w:rsid w:val="001700D1"/>
    <w:rsid w:val="0017026A"/>
    <w:rsid w:val="0017056A"/>
    <w:rsid w:val="001775AA"/>
    <w:rsid w:val="00182A28"/>
    <w:rsid w:val="001876AC"/>
    <w:rsid w:val="00190638"/>
    <w:rsid w:val="0019731B"/>
    <w:rsid w:val="00197889"/>
    <w:rsid w:val="001A4F0D"/>
    <w:rsid w:val="001B5A66"/>
    <w:rsid w:val="001C2690"/>
    <w:rsid w:val="001E5DA3"/>
    <w:rsid w:val="001E7E28"/>
    <w:rsid w:val="001F3147"/>
    <w:rsid w:val="00201D8A"/>
    <w:rsid w:val="00222851"/>
    <w:rsid w:val="00224C94"/>
    <w:rsid w:val="00227900"/>
    <w:rsid w:val="002351A1"/>
    <w:rsid w:val="00242EA9"/>
    <w:rsid w:val="00243E00"/>
    <w:rsid w:val="00256B71"/>
    <w:rsid w:val="00260E1F"/>
    <w:rsid w:val="00264EC0"/>
    <w:rsid w:val="00266CF6"/>
    <w:rsid w:val="00271BBA"/>
    <w:rsid w:val="00271D5C"/>
    <w:rsid w:val="00277B41"/>
    <w:rsid w:val="002808FF"/>
    <w:rsid w:val="00286B0D"/>
    <w:rsid w:val="002915C8"/>
    <w:rsid w:val="00295E62"/>
    <w:rsid w:val="002A12D8"/>
    <w:rsid w:val="002A2D9A"/>
    <w:rsid w:val="002C12E8"/>
    <w:rsid w:val="002C1FF9"/>
    <w:rsid w:val="002C2E6D"/>
    <w:rsid w:val="002C4FA5"/>
    <w:rsid w:val="002C7C18"/>
    <w:rsid w:val="002D695F"/>
    <w:rsid w:val="002E7217"/>
    <w:rsid w:val="00305BBA"/>
    <w:rsid w:val="00312684"/>
    <w:rsid w:val="00330EF0"/>
    <w:rsid w:val="003376E7"/>
    <w:rsid w:val="00347C44"/>
    <w:rsid w:val="00351AD3"/>
    <w:rsid w:val="00370EB3"/>
    <w:rsid w:val="003729FD"/>
    <w:rsid w:val="00391E22"/>
    <w:rsid w:val="00394198"/>
    <w:rsid w:val="00395C8D"/>
    <w:rsid w:val="003B7B06"/>
    <w:rsid w:val="003D2463"/>
    <w:rsid w:val="003E5DDA"/>
    <w:rsid w:val="00402A02"/>
    <w:rsid w:val="00407A0E"/>
    <w:rsid w:val="00412679"/>
    <w:rsid w:val="00417379"/>
    <w:rsid w:val="00417AAC"/>
    <w:rsid w:val="00417BE2"/>
    <w:rsid w:val="00422287"/>
    <w:rsid w:val="00436014"/>
    <w:rsid w:val="00437A71"/>
    <w:rsid w:val="00443E32"/>
    <w:rsid w:val="00450C62"/>
    <w:rsid w:val="00454480"/>
    <w:rsid w:val="004953B7"/>
    <w:rsid w:val="004A2DE9"/>
    <w:rsid w:val="004B1645"/>
    <w:rsid w:val="004B4465"/>
    <w:rsid w:val="004C79DF"/>
    <w:rsid w:val="004D1BF8"/>
    <w:rsid w:val="004D369F"/>
    <w:rsid w:val="004E2278"/>
    <w:rsid w:val="004E3650"/>
    <w:rsid w:val="004E48B4"/>
    <w:rsid w:val="004E7376"/>
    <w:rsid w:val="0050147B"/>
    <w:rsid w:val="00510567"/>
    <w:rsid w:val="0052204A"/>
    <w:rsid w:val="00543965"/>
    <w:rsid w:val="00547E9D"/>
    <w:rsid w:val="005508AE"/>
    <w:rsid w:val="00554578"/>
    <w:rsid w:val="00556C20"/>
    <w:rsid w:val="005600E7"/>
    <w:rsid w:val="005605A7"/>
    <w:rsid w:val="005767C5"/>
    <w:rsid w:val="0058098C"/>
    <w:rsid w:val="00580E95"/>
    <w:rsid w:val="00583078"/>
    <w:rsid w:val="005859CA"/>
    <w:rsid w:val="005867E5"/>
    <w:rsid w:val="005A6D4B"/>
    <w:rsid w:val="005B43AD"/>
    <w:rsid w:val="005B48A3"/>
    <w:rsid w:val="005B49F4"/>
    <w:rsid w:val="005C642A"/>
    <w:rsid w:val="005D009C"/>
    <w:rsid w:val="005D5698"/>
    <w:rsid w:val="005E098E"/>
    <w:rsid w:val="005E7AA4"/>
    <w:rsid w:val="005F025D"/>
    <w:rsid w:val="005F5B3F"/>
    <w:rsid w:val="0061364A"/>
    <w:rsid w:val="00614B78"/>
    <w:rsid w:val="0062315B"/>
    <w:rsid w:val="00631914"/>
    <w:rsid w:val="00637F64"/>
    <w:rsid w:val="00654042"/>
    <w:rsid w:val="006603BF"/>
    <w:rsid w:val="006723A7"/>
    <w:rsid w:val="00691CAA"/>
    <w:rsid w:val="006930C6"/>
    <w:rsid w:val="00693E07"/>
    <w:rsid w:val="006A138A"/>
    <w:rsid w:val="006B6D0C"/>
    <w:rsid w:val="006C31A6"/>
    <w:rsid w:val="006C61D3"/>
    <w:rsid w:val="006D0844"/>
    <w:rsid w:val="006D2785"/>
    <w:rsid w:val="006D2D62"/>
    <w:rsid w:val="006D75EB"/>
    <w:rsid w:val="006D7A46"/>
    <w:rsid w:val="006D7CC5"/>
    <w:rsid w:val="006F025F"/>
    <w:rsid w:val="006F73C5"/>
    <w:rsid w:val="0070338A"/>
    <w:rsid w:val="00705548"/>
    <w:rsid w:val="00714032"/>
    <w:rsid w:val="0071520E"/>
    <w:rsid w:val="007173AA"/>
    <w:rsid w:val="00717771"/>
    <w:rsid w:val="00736A01"/>
    <w:rsid w:val="00745B93"/>
    <w:rsid w:val="00746AC5"/>
    <w:rsid w:val="00753951"/>
    <w:rsid w:val="0075528B"/>
    <w:rsid w:val="00756199"/>
    <w:rsid w:val="00756C5F"/>
    <w:rsid w:val="00764F98"/>
    <w:rsid w:val="007657B9"/>
    <w:rsid w:val="0078430F"/>
    <w:rsid w:val="0079324F"/>
    <w:rsid w:val="007B0DC4"/>
    <w:rsid w:val="007C0927"/>
    <w:rsid w:val="007C5A83"/>
    <w:rsid w:val="007D7353"/>
    <w:rsid w:val="007E4B84"/>
    <w:rsid w:val="007F4DE0"/>
    <w:rsid w:val="007F5F75"/>
    <w:rsid w:val="00802079"/>
    <w:rsid w:val="0080252D"/>
    <w:rsid w:val="00803A9D"/>
    <w:rsid w:val="008170BF"/>
    <w:rsid w:val="00855BDD"/>
    <w:rsid w:val="00856173"/>
    <w:rsid w:val="008568C9"/>
    <w:rsid w:val="00874271"/>
    <w:rsid w:val="00885D9F"/>
    <w:rsid w:val="00892415"/>
    <w:rsid w:val="00895FEF"/>
    <w:rsid w:val="0089732D"/>
    <w:rsid w:val="008B0C39"/>
    <w:rsid w:val="008D0979"/>
    <w:rsid w:val="008E1BA9"/>
    <w:rsid w:val="008E6926"/>
    <w:rsid w:val="008F7924"/>
    <w:rsid w:val="00902F63"/>
    <w:rsid w:val="00902FBE"/>
    <w:rsid w:val="00917DC5"/>
    <w:rsid w:val="00920989"/>
    <w:rsid w:val="009223B1"/>
    <w:rsid w:val="00924057"/>
    <w:rsid w:val="0092598A"/>
    <w:rsid w:val="00930A14"/>
    <w:rsid w:val="00937C6D"/>
    <w:rsid w:val="009409E6"/>
    <w:rsid w:val="0094314C"/>
    <w:rsid w:val="00945951"/>
    <w:rsid w:val="00965FF9"/>
    <w:rsid w:val="00966A79"/>
    <w:rsid w:val="00995C6A"/>
    <w:rsid w:val="009A2F1D"/>
    <w:rsid w:val="009B22B4"/>
    <w:rsid w:val="009B47FA"/>
    <w:rsid w:val="009B5852"/>
    <w:rsid w:val="009C0E5A"/>
    <w:rsid w:val="009C52D8"/>
    <w:rsid w:val="009D03A0"/>
    <w:rsid w:val="009D1019"/>
    <w:rsid w:val="009D45D9"/>
    <w:rsid w:val="009D604B"/>
    <w:rsid w:val="009E66CE"/>
    <w:rsid w:val="009F5703"/>
    <w:rsid w:val="00A03FE5"/>
    <w:rsid w:val="00A20FC6"/>
    <w:rsid w:val="00A26526"/>
    <w:rsid w:val="00A3369F"/>
    <w:rsid w:val="00A341DB"/>
    <w:rsid w:val="00A53180"/>
    <w:rsid w:val="00A53F63"/>
    <w:rsid w:val="00A70680"/>
    <w:rsid w:val="00A73EA4"/>
    <w:rsid w:val="00A81FC3"/>
    <w:rsid w:val="00A93B28"/>
    <w:rsid w:val="00A970D6"/>
    <w:rsid w:val="00AA537C"/>
    <w:rsid w:val="00AA7A21"/>
    <w:rsid w:val="00AB1AE5"/>
    <w:rsid w:val="00AC3920"/>
    <w:rsid w:val="00AD4C06"/>
    <w:rsid w:val="00AD53BC"/>
    <w:rsid w:val="00AE3618"/>
    <w:rsid w:val="00AE5BBE"/>
    <w:rsid w:val="00AF4FF3"/>
    <w:rsid w:val="00B16293"/>
    <w:rsid w:val="00B1702E"/>
    <w:rsid w:val="00B24EFE"/>
    <w:rsid w:val="00B4213B"/>
    <w:rsid w:val="00B42A15"/>
    <w:rsid w:val="00B45671"/>
    <w:rsid w:val="00B470C0"/>
    <w:rsid w:val="00B507CF"/>
    <w:rsid w:val="00B67F8C"/>
    <w:rsid w:val="00B71E32"/>
    <w:rsid w:val="00B7333E"/>
    <w:rsid w:val="00B848F1"/>
    <w:rsid w:val="00B9523F"/>
    <w:rsid w:val="00BA084B"/>
    <w:rsid w:val="00BB1BC4"/>
    <w:rsid w:val="00BC6F89"/>
    <w:rsid w:val="00BD35D9"/>
    <w:rsid w:val="00BD77F5"/>
    <w:rsid w:val="00BD7F30"/>
    <w:rsid w:val="00BE09CC"/>
    <w:rsid w:val="00BE238F"/>
    <w:rsid w:val="00BE2EFA"/>
    <w:rsid w:val="00BF5745"/>
    <w:rsid w:val="00C00435"/>
    <w:rsid w:val="00C13B38"/>
    <w:rsid w:val="00C305D7"/>
    <w:rsid w:val="00C3199E"/>
    <w:rsid w:val="00C412A3"/>
    <w:rsid w:val="00C41ABE"/>
    <w:rsid w:val="00C6218C"/>
    <w:rsid w:val="00C63013"/>
    <w:rsid w:val="00C80956"/>
    <w:rsid w:val="00C80E48"/>
    <w:rsid w:val="00C82F67"/>
    <w:rsid w:val="00C92687"/>
    <w:rsid w:val="00C9442E"/>
    <w:rsid w:val="00CB2581"/>
    <w:rsid w:val="00CD03E1"/>
    <w:rsid w:val="00CE35CE"/>
    <w:rsid w:val="00CE694C"/>
    <w:rsid w:val="00CE788E"/>
    <w:rsid w:val="00CF42CC"/>
    <w:rsid w:val="00D00136"/>
    <w:rsid w:val="00D12327"/>
    <w:rsid w:val="00D17CEA"/>
    <w:rsid w:val="00D259F8"/>
    <w:rsid w:val="00D369EE"/>
    <w:rsid w:val="00D52119"/>
    <w:rsid w:val="00D5676D"/>
    <w:rsid w:val="00D66667"/>
    <w:rsid w:val="00D67C25"/>
    <w:rsid w:val="00D95F41"/>
    <w:rsid w:val="00DA0A5A"/>
    <w:rsid w:val="00DA3EF6"/>
    <w:rsid w:val="00DB0AEE"/>
    <w:rsid w:val="00DC3E86"/>
    <w:rsid w:val="00DC5BB7"/>
    <w:rsid w:val="00DC7E5A"/>
    <w:rsid w:val="00DD0977"/>
    <w:rsid w:val="00DE3D96"/>
    <w:rsid w:val="00DE4140"/>
    <w:rsid w:val="00DF03FD"/>
    <w:rsid w:val="00DF1160"/>
    <w:rsid w:val="00E02EBD"/>
    <w:rsid w:val="00E07F0F"/>
    <w:rsid w:val="00E242EA"/>
    <w:rsid w:val="00E6471C"/>
    <w:rsid w:val="00E82AF9"/>
    <w:rsid w:val="00E85800"/>
    <w:rsid w:val="00E916AE"/>
    <w:rsid w:val="00E932E8"/>
    <w:rsid w:val="00EB304E"/>
    <w:rsid w:val="00EB7592"/>
    <w:rsid w:val="00EC087A"/>
    <w:rsid w:val="00ED3753"/>
    <w:rsid w:val="00EE54F6"/>
    <w:rsid w:val="00EE605A"/>
    <w:rsid w:val="00EF6AEF"/>
    <w:rsid w:val="00EF7113"/>
    <w:rsid w:val="00F2036E"/>
    <w:rsid w:val="00F20F4B"/>
    <w:rsid w:val="00F22D12"/>
    <w:rsid w:val="00F42A85"/>
    <w:rsid w:val="00F46B16"/>
    <w:rsid w:val="00F64B1D"/>
    <w:rsid w:val="00F757CA"/>
    <w:rsid w:val="00F8025D"/>
    <w:rsid w:val="00F8180F"/>
    <w:rsid w:val="00F87779"/>
    <w:rsid w:val="00F92049"/>
    <w:rsid w:val="00F97ADC"/>
    <w:rsid w:val="00FA3A66"/>
    <w:rsid w:val="00FA71EB"/>
    <w:rsid w:val="00FB254C"/>
    <w:rsid w:val="00FB2D65"/>
    <w:rsid w:val="00FD1ACF"/>
    <w:rsid w:val="00FD3A00"/>
    <w:rsid w:val="00FD3C81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30AF1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7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C579E0CED44EB28F48A06035B6E9" ma:contentTypeVersion="14" ma:contentTypeDescription="Create a new document." ma:contentTypeScope="" ma:versionID="8aae37f559941703c0ac4170027c3563">
  <xsd:schema xmlns:xsd="http://www.w3.org/2001/XMLSchema" xmlns:xs="http://www.w3.org/2001/XMLSchema" xmlns:p="http://schemas.microsoft.com/office/2006/metadata/properties" xmlns:ns2="d520cd54-fed9-4219-84d9-bd7b8b627ff0" xmlns:ns3="1117b3cf-72aa-453b-92cc-8d9251f15f75" targetNamespace="http://schemas.microsoft.com/office/2006/metadata/properties" ma:root="true" ma:fieldsID="2a0ed2127557443dae3dbc1f37de9378" ns2:_="" ns3:_="">
    <xsd:import namespace="d520cd54-fed9-4219-84d9-bd7b8b627ff0"/>
    <xsd:import namespace="1117b3cf-72aa-453b-92cc-8d9251f15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cd54-fed9-4219-84d9-bd7b8b627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51fe77a-7f2b-40b5-8e86-4fbe175d4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7b3cf-72aa-453b-92cc-8d9251f15f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f0aeec-d66b-4343-942c-0f5f9be77aaa}" ma:internalName="TaxCatchAll" ma:showField="CatchAllData" ma:web="1117b3cf-72aa-453b-92cc-8d9251f15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7b3cf-72aa-453b-92cc-8d9251f15f75" xsi:nil="true"/>
    <lcf76f155ced4ddcb4097134ff3c332f xmlns="d520cd54-fed9-4219-84d9-bd7b8b627f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A47703-285F-4D61-9E42-99B1FA30D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2090F-01AB-418C-91C3-6ACE29C91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0cd54-fed9-4219-84d9-bd7b8b627ff0"/>
    <ds:schemaRef ds:uri="1117b3cf-72aa-453b-92cc-8d9251f15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FAE16-0F72-4728-949B-E34F3B08B33C}">
  <ds:schemaRefs>
    <ds:schemaRef ds:uri="http://schemas.microsoft.com/office/2006/metadata/properties"/>
    <ds:schemaRef ds:uri="http://schemas.microsoft.com/office/infopath/2007/PartnerControls"/>
    <ds:schemaRef ds:uri="1117b3cf-72aa-453b-92cc-8d9251f15f75"/>
    <ds:schemaRef ds:uri="d520cd54-fed9-4219-84d9-bd7b8b627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2026-04-27T10:20:00Z</dcterms:created>
  <dcterms:modified xsi:type="dcterms:W3CDTF">2026-04-27T10:20:00Z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0x010100AD5CC579E0CED44EB28F48A06035B6E9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