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745"/>
        <w:gridCol w:w="5387"/>
      </w:tblGrid>
      <w:tr w:rsidR="00BE353F" w:rsidRPr="00CF0E02" w14:paraId="287B4508" w14:textId="77777777" w:rsidTr="00E92335">
        <w:trPr>
          <w:trHeight w:val="417"/>
        </w:trPr>
        <w:tc>
          <w:tcPr>
            <w:tcW w:w="495" w:type="dxa"/>
            <w:vAlign w:val="center"/>
          </w:tcPr>
          <w:p w14:paraId="4CA52BF7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bookmarkStart w:id="0" w:name="_Hlk143510249"/>
            <w:bookmarkStart w:id="1" w:name="_Hlk143510681"/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4745" w:type="dxa"/>
            <w:vAlign w:val="center"/>
          </w:tcPr>
          <w:p w14:paraId="7794735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5387" w:type="dxa"/>
            <w:vAlign w:val="center"/>
          </w:tcPr>
          <w:p w14:paraId="151A2E9F" w14:textId="27B3B5F3" w:rsidR="00BE353F" w:rsidRPr="00CF0E02" w:rsidRDefault="00875F7D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Supplier </w:t>
            </w:r>
            <w:r w:rsidR="00347E60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Manager</w:t>
            </w:r>
          </w:p>
        </w:tc>
      </w:tr>
      <w:tr w:rsidR="00BE353F" w:rsidRPr="00CF0E02" w14:paraId="2EBCA36B" w14:textId="77777777" w:rsidTr="00543E69">
        <w:trPr>
          <w:trHeight w:val="534"/>
        </w:trPr>
        <w:tc>
          <w:tcPr>
            <w:tcW w:w="495" w:type="dxa"/>
            <w:vAlign w:val="center"/>
          </w:tcPr>
          <w:p w14:paraId="1C141162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4745" w:type="dxa"/>
            <w:vAlign w:val="center"/>
          </w:tcPr>
          <w:p w14:paraId="48EBAF66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Function &amp; Business Unit  </w:t>
            </w:r>
          </w:p>
        </w:tc>
        <w:tc>
          <w:tcPr>
            <w:tcW w:w="5387" w:type="dxa"/>
            <w:vAlign w:val="center"/>
          </w:tcPr>
          <w:p w14:paraId="5E6DA0BF" w14:textId="32505C90" w:rsidR="00BE353F" w:rsidRPr="00CF0E02" w:rsidRDefault="00DB13CB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Operations </w:t>
            </w:r>
          </w:p>
        </w:tc>
      </w:tr>
      <w:tr w:rsidR="00BE353F" w:rsidRPr="00CF0E02" w14:paraId="63A6273B" w14:textId="77777777" w:rsidTr="00543E69">
        <w:trPr>
          <w:trHeight w:val="566"/>
        </w:trPr>
        <w:tc>
          <w:tcPr>
            <w:tcW w:w="495" w:type="dxa"/>
            <w:vAlign w:val="center"/>
          </w:tcPr>
          <w:p w14:paraId="15D60628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4745" w:type="dxa"/>
            <w:vAlign w:val="center"/>
          </w:tcPr>
          <w:p w14:paraId="4EB6EE8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Location </w:t>
            </w:r>
          </w:p>
        </w:tc>
        <w:tc>
          <w:tcPr>
            <w:tcW w:w="5387" w:type="dxa"/>
            <w:vAlign w:val="center"/>
          </w:tcPr>
          <w:p w14:paraId="5AEA254F" w14:textId="052BDB1F" w:rsidR="00BE353F" w:rsidRPr="00CF0E02" w:rsidRDefault="001A62E8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Brierley Hill </w:t>
            </w:r>
            <w:r w:rsidR="00347E60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/ Colchester</w:t>
            </w:r>
            <w:r w:rsidR="00AD199B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 / Cardiff</w:t>
            </w:r>
          </w:p>
        </w:tc>
      </w:tr>
      <w:tr w:rsidR="00BE353F" w:rsidRPr="00CF0E02" w14:paraId="30770647" w14:textId="77777777" w:rsidTr="00543E69">
        <w:trPr>
          <w:trHeight w:val="5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2F9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33E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Hiring Entity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2C8" w14:textId="5D09BCB2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Arc Legal Group</w:t>
            </w:r>
          </w:p>
        </w:tc>
      </w:tr>
      <w:tr w:rsidR="00BE353F" w:rsidRPr="00CF0E02" w14:paraId="6CEA1958" w14:textId="77777777" w:rsidTr="00543E69">
        <w:trPr>
          <w:trHeight w:val="658"/>
        </w:trPr>
        <w:tc>
          <w:tcPr>
            <w:tcW w:w="495" w:type="dxa"/>
            <w:vAlign w:val="center"/>
          </w:tcPr>
          <w:p w14:paraId="6138A08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5. </w:t>
            </w:r>
          </w:p>
        </w:tc>
        <w:tc>
          <w:tcPr>
            <w:tcW w:w="4745" w:type="dxa"/>
            <w:vAlign w:val="center"/>
          </w:tcPr>
          <w:p w14:paraId="7932B13F" w14:textId="6DA07926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Insurance Distribution Directive (IDD) Continuing Professional Development (CPD) Requirements</w:t>
            </w:r>
          </w:p>
        </w:tc>
        <w:tc>
          <w:tcPr>
            <w:tcW w:w="5387" w:type="dxa"/>
            <w:vAlign w:val="center"/>
          </w:tcPr>
          <w:p w14:paraId="28C6C7C2" w14:textId="03E9498D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IDD CPD - in scope</w:t>
            </w:r>
          </w:p>
        </w:tc>
      </w:tr>
      <w:tr w:rsidR="00BE353F" w:rsidRPr="00CF0E02" w14:paraId="484DB3FE" w14:textId="77777777" w:rsidTr="00AD199B">
        <w:trPr>
          <w:trHeight w:val="474"/>
        </w:trPr>
        <w:tc>
          <w:tcPr>
            <w:tcW w:w="495" w:type="dxa"/>
            <w:vAlign w:val="center"/>
          </w:tcPr>
          <w:p w14:paraId="50FA545B" w14:textId="06B84B46" w:rsidR="00BE353F" w:rsidRPr="00CF0E02" w:rsidRDefault="00BE353F" w:rsidP="00CF6AEA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6.</w:t>
            </w:r>
          </w:p>
        </w:tc>
        <w:tc>
          <w:tcPr>
            <w:tcW w:w="4745" w:type="dxa"/>
            <w:vAlign w:val="center"/>
          </w:tcPr>
          <w:p w14:paraId="73AC3EE1" w14:textId="52883537" w:rsidR="00BE353F" w:rsidRPr="00CF0E02" w:rsidRDefault="00BE353F" w:rsidP="00B63934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Committee Roles</w:t>
            </w:r>
          </w:p>
        </w:tc>
        <w:tc>
          <w:tcPr>
            <w:tcW w:w="5387" w:type="dxa"/>
            <w:vAlign w:val="center"/>
          </w:tcPr>
          <w:p w14:paraId="5C7D26FE" w14:textId="21B77B16" w:rsidR="00543E69" w:rsidRPr="00CF0E02" w:rsidRDefault="00AD199B" w:rsidP="00905B16">
            <w:pPr>
              <w:pStyle w:val="AmTrustBlack"/>
              <w:numPr>
                <w:ilvl w:val="0"/>
                <w:numId w:val="3"/>
              </w:numPr>
              <w:spacing w:after="0"/>
              <w:ind w:left="0" w:hanging="357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None</w:t>
            </w:r>
          </w:p>
        </w:tc>
      </w:tr>
      <w:tr w:rsidR="00BE353F" w:rsidRPr="00CF0E02" w14:paraId="6A773664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67FEE951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7.</w:t>
            </w:r>
          </w:p>
        </w:tc>
        <w:tc>
          <w:tcPr>
            <w:tcW w:w="4745" w:type="dxa"/>
            <w:vAlign w:val="center"/>
          </w:tcPr>
          <w:p w14:paraId="3949C4A8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Direct &amp; Indirect </w:t>
            </w:r>
          </w:p>
          <w:p w14:paraId="5E0A4103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Reporting Line</w:t>
            </w:r>
          </w:p>
        </w:tc>
        <w:tc>
          <w:tcPr>
            <w:tcW w:w="5387" w:type="dxa"/>
            <w:vAlign w:val="center"/>
          </w:tcPr>
          <w:p w14:paraId="4A6D0414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  <w:t>Direct Line Manager</w:t>
            </w:r>
          </w:p>
          <w:p w14:paraId="329D4A95" w14:textId="10FB0D67" w:rsidR="00BE353F" w:rsidRPr="00CF0E02" w:rsidRDefault="00AD199B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Procurement Manager</w:t>
            </w:r>
          </w:p>
          <w:p w14:paraId="57431403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  <w:t>Indirect (dotted) Line Manager</w:t>
            </w:r>
          </w:p>
          <w:p w14:paraId="612884B0" w14:textId="68EAEA10" w:rsidR="00BE353F" w:rsidRPr="00CF0E02" w:rsidRDefault="00914138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None</w:t>
            </w:r>
          </w:p>
        </w:tc>
      </w:tr>
      <w:tr w:rsidR="00BE353F" w:rsidRPr="00CF0E02" w14:paraId="2E46B278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7A6E8E17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8.</w:t>
            </w:r>
          </w:p>
        </w:tc>
        <w:tc>
          <w:tcPr>
            <w:tcW w:w="4745" w:type="dxa"/>
            <w:vAlign w:val="center"/>
          </w:tcPr>
          <w:p w14:paraId="7E4DFA8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Direct &amp; Indirect Reports </w:t>
            </w:r>
          </w:p>
        </w:tc>
        <w:tc>
          <w:tcPr>
            <w:tcW w:w="5387" w:type="dxa"/>
            <w:vAlign w:val="center"/>
          </w:tcPr>
          <w:p w14:paraId="6D6DF46C" w14:textId="014A3EF5" w:rsidR="00BE353F" w:rsidRPr="00CF0E02" w:rsidRDefault="00AD199B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None</w:t>
            </w:r>
          </w:p>
        </w:tc>
      </w:tr>
      <w:tr w:rsidR="00BE353F" w:rsidRPr="00CF0E02" w14:paraId="2C1322FB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69397A56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9.</w:t>
            </w:r>
          </w:p>
        </w:tc>
        <w:tc>
          <w:tcPr>
            <w:tcW w:w="4745" w:type="dxa"/>
            <w:vAlign w:val="center"/>
          </w:tcPr>
          <w:p w14:paraId="5D171FC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Key Stakeholders</w:t>
            </w:r>
          </w:p>
        </w:tc>
        <w:tc>
          <w:tcPr>
            <w:tcW w:w="5387" w:type="dxa"/>
            <w:vAlign w:val="center"/>
          </w:tcPr>
          <w:p w14:paraId="20051CB9" w14:textId="4EAAE00C" w:rsidR="00BE353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 xml:space="preserve">Head </w:t>
            </w:r>
            <w:r w:rsidR="00802B2E" w:rsidRPr="00CF0E02">
              <w:rPr>
                <w:lang w:eastAsia="en-GB"/>
              </w:rPr>
              <w:t>of Technical Claims</w:t>
            </w:r>
          </w:p>
          <w:p w14:paraId="2B351A6E" w14:textId="0E3D28F3" w:rsidR="00123E1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Head of Partnerships</w:t>
            </w:r>
          </w:p>
          <w:p w14:paraId="7157A03E" w14:textId="4F902C04" w:rsidR="00123E1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Head of Business Development</w:t>
            </w:r>
          </w:p>
          <w:p w14:paraId="6B71C4E3" w14:textId="622608B9" w:rsidR="00F62410" w:rsidRPr="00CF0E02" w:rsidRDefault="00E97A74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Financial Operations Manager</w:t>
            </w:r>
          </w:p>
          <w:p w14:paraId="5B2B6D76" w14:textId="7BC26803" w:rsidR="00F62410" w:rsidRPr="00CF0E02" w:rsidRDefault="00E97A74" w:rsidP="00EB222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Data &amp; MI Manager</w:t>
            </w:r>
          </w:p>
        </w:tc>
      </w:tr>
      <w:tr w:rsidR="00BE353F" w:rsidRPr="00CF0E02" w14:paraId="7716C5F3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7531CC39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10.</w:t>
            </w:r>
          </w:p>
        </w:tc>
        <w:tc>
          <w:tcPr>
            <w:tcW w:w="4745" w:type="dxa"/>
            <w:vAlign w:val="center"/>
          </w:tcPr>
          <w:p w14:paraId="4856B37B" w14:textId="5DEE8E95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Last Review Date</w:t>
            </w:r>
          </w:p>
        </w:tc>
        <w:tc>
          <w:tcPr>
            <w:tcW w:w="5387" w:type="dxa"/>
            <w:vAlign w:val="center"/>
          </w:tcPr>
          <w:p w14:paraId="41305AC3" w14:textId="34CE7BB2" w:rsidR="00BE353F" w:rsidRPr="00CF0E02" w:rsidRDefault="00A70B5D" w:rsidP="004301A9">
            <w:pPr>
              <w:adjustRightInd w:val="0"/>
              <w:spacing w:after="0"/>
              <w:rPr>
                <w:lang w:eastAsia="en-GB"/>
              </w:rPr>
            </w:pPr>
            <w:r>
              <w:rPr>
                <w:lang w:eastAsia="en-GB"/>
              </w:rPr>
              <w:t>March</w:t>
            </w:r>
            <w:r w:rsidR="0096447C">
              <w:rPr>
                <w:lang w:eastAsia="en-GB"/>
              </w:rPr>
              <w:t xml:space="preserve"> 2026</w:t>
            </w:r>
          </w:p>
        </w:tc>
      </w:tr>
      <w:bookmarkEnd w:id="0"/>
      <w:bookmarkEnd w:id="1"/>
    </w:tbl>
    <w:p w14:paraId="446BA010" w14:textId="77777777" w:rsidR="00A21422" w:rsidRPr="00CF0E02" w:rsidRDefault="00A21422" w:rsidP="004301A9">
      <w:pPr>
        <w:pStyle w:val="Heading1"/>
        <w:rPr>
          <w:noProof w:val="0"/>
          <w:shd w:val="clear" w:color="auto" w:fill="auto"/>
        </w:rPr>
      </w:pPr>
    </w:p>
    <w:p w14:paraId="607A1ACF" w14:textId="77777777" w:rsidR="00E97A74" w:rsidRPr="00CF0E02" w:rsidRDefault="00E97A74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color w:val="6F064F"/>
          <w:sz w:val="32"/>
          <w:shd w:val="clear" w:color="auto" w:fill="auto"/>
        </w:rPr>
      </w:pPr>
      <w:r w:rsidRPr="00CF0E02">
        <w:rPr>
          <w:shd w:val="clear" w:color="auto" w:fill="auto"/>
        </w:rPr>
        <w:br w:type="page"/>
      </w:r>
    </w:p>
    <w:p w14:paraId="69D649D2" w14:textId="6BA97F00" w:rsidR="00C35DB4" w:rsidRPr="00CF0E02" w:rsidRDefault="00C35DB4" w:rsidP="004301A9">
      <w:pPr>
        <w:pStyle w:val="Heading1"/>
        <w:rPr>
          <w:noProof w:val="0"/>
          <w:shd w:val="clear" w:color="auto" w:fill="auto"/>
        </w:rPr>
      </w:pPr>
      <w:r w:rsidRPr="00CF0E02">
        <w:rPr>
          <w:noProof w:val="0"/>
          <w:shd w:val="clear" w:color="auto" w:fill="auto"/>
        </w:rPr>
        <w:lastRenderedPageBreak/>
        <w:t>Position overview</w:t>
      </w:r>
    </w:p>
    <w:p w14:paraId="208245A7" w14:textId="4DA16F5B" w:rsidR="00B51996" w:rsidRDefault="00B51996" w:rsidP="00B51996">
      <w:pPr>
        <w:rPr>
          <w:shd w:val="clear" w:color="auto" w:fill="auto"/>
        </w:rPr>
      </w:pPr>
      <w:r w:rsidRPr="00CF0E02">
        <w:rPr>
          <w:shd w:val="clear" w:color="auto" w:fill="auto"/>
        </w:rPr>
        <w:t xml:space="preserve">Reporting to the Procurement Manager, the </w:t>
      </w:r>
      <w:r w:rsidR="00F074AE">
        <w:rPr>
          <w:shd w:val="clear" w:color="auto" w:fill="auto"/>
        </w:rPr>
        <w:t>Supplier</w:t>
      </w:r>
      <w:r w:rsidRPr="00CF0E02">
        <w:rPr>
          <w:shd w:val="clear" w:color="auto" w:fill="auto"/>
        </w:rPr>
        <w:t xml:space="preserve"> Manager is responsible for managing relationships between Arc Legal and its external supply chain, including outsource partners with claims handling/helpline authority and solicitors. </w:t>
      </w:r>
    </w:p>
    <w:p w14:paraId="08332387" w14:textId="5D64D8BD" w:rsidR="006E04D5" w:rsidRPr="00CF0E02" w:rsidRDefault="006E04D5" w:rsidP="006E04D5">
      <w:pPr>
        <w:rPr>
          <w:shd w:val="clear" w:color="auto" w:fill="auto"/>
        </w:rPr>
      </w:pPr>
      <w:r w:rsidRPr="006E04D5">
        <w:rPr>
          <w:shd w:val="clear" w:color="auto" w:fill="auto"/>
        </w:rPr>
        <w:t>This role plays a critical part in ensuring Arc Legal’s supply chain delivers consistent, compliant, and customer-centric service outcomes. Success in this role will be measured through supplier performance stability, service improvements, and risk reduction.</w:t>
      </w:r>
    </w:p>
    <w:p w14:paraId="6AF69299" w14:textId="569CBB49" w:rsidR="00C35DB4" w:rsidRPr="00CF0E02" w:rsidRDefault="00C35DB4" w:rsidP="004301A9">
      <w:pPr>
        <w:pStyle w:val="Heading2"/>
      </w:pPr>
      <w:r w:rsidRPr="00CF0E02">
        <w:t>Essential job functions</w:t>
      </w:r>
    </w:p>
    <w:p w14:paraId="1640EB3D" w14:textId="4401BE1E" w:rsidR="006E2C46" w:rsidRPr="00CF0E02" w:rsidRDefault="0044527C" w:rsidP="004301A9">
      <w:r w:rsidRPr="00CF0E02">
        <w:t xml:space="preserve">The </w:t>
      </w:r>
      <w:r w:rsidR="002D50BC">
        <w:t>Supplier</w:t>
      </w:r>
      <w:r w:rsidR="00905B16" w:rsidRPr="00CF0E02">
        <w:t xml:space="preserve"> Manager</w:t>
      </w:r>
      <w:r w:rsidR="00D95935" w:rsidRPr="00CF0E02">
        <w:t xml:space="preserve"> will</w:t>
      </w:r>
      <w:r w:rsidR="00432C72" w:rsidRPr="00CF0E02">
        <w:t xml:space="preserve"> </w:t>
      </w:r>
      <w:r w:rsidR="00C65678" w:rsidRPr="00CF0E02">
        <w:t>deliver effective management of allocated suppliers in line with the agreed group policies and procedures. This will include</w:t>
      </w:r>
      <w:r w:rsidR="006E2C46" w:rsidRPr="00CF0E02">
        <w:t>:</w:t>
      </w:r>
    </w:p>
    <w:p w14:paraId="79F34DBC" w14:textId="30825BB1" w:rsidR="009431CE" w:rsidRPr="007D459A" w:rsidRDefault="007D459A" w:rsidP="007D459A">
      <w:pPr>
        <w:widowControl/>
        <w:numPr>
          <w:ilvl w:val="0"/>
          <w:numId w:val="13"/>
        </w:numPr>
        <w:autoSpaceDE/>
        <w:autoSpaceDN/>
        <w:spacing w:after="0" w:line="259" w:lineRule="auto"/>
        <w:ind w:left="709" w:right="0" w:hanging="357"/>
        <w:contextualSpacing/>
        <w:jc w:val="left"/>
        <w:rPr>
          <w:color w:val="443F3E" w:themeColor="text2"/>
        </w:rPr>
      </w:pPr>
      <w:r>
        <w:t xml:space="preserve">Effective management of allocated suppliers in line with the agreed group policies and procedures. </w:t>
      </w:r>
      <w:r w:rsidR="00727012" w:rsidRPr="00CF0E02">
        <w:t>Man</w:t>
      </w:r>
      <w:r w:rsidR="00065B93" w:rsidRPr="00CF0E02">
        <w:t>a</w:t>
      </w:r>
      <w:r w:rsidR="00727012" w:rsidRPr="00CF0E02">
        <w:t>ging</w:t>
      </w:r>
      <w:r w:rsidR="009431CE" w:rsidRPr="009431CE">
        <w:t xml:space="preserve"> the </w:t>
      </w:r>
      <w:r w:rsidR="00A70B5D">
        <w:t>ongoing</w:t>
      </w:r>
      <w:r w:rsidR="009431CE" w:rsidRPr="009431CE">
        <w:t xml:space="preserve"> review and profitability of </w:t>
      </w:r>
      <w:r w:rsidR="00E319A8">
        <w:t>allocated</w:t>
      </w:r>
      <w:r w:rsidR="009431CE" w:rsidRPr="009431CE">
        <w:t xml:space="preserve"> outsourced arrangements.</w:t>
      </w:r>
    </w:p>
    <w:p w14:paraId="6121CBE7" w14:textId="694CF0A1" w:rsidR="009431CE" w:rsidRDefault="009431CE" w:rsidP="00FD459E">
      <w:pPr>
        <w:pStyle w:val="Bullet1"/>
        <w:numPr>
          <w:ilvl w:val="0"/>
          <w:numId w:val="13"/>
        </w:numPr>
        <w:spacing w:after="0"/>
        <w:ind w:left="709" w:hanging="357"/>
        <w:contextualSpacing/>
      </w:pPr>
      <w:r w:rsidRPr="009431CE">
        <w:t xml:space="preserve">Ensuring receipt of and review of </w:t>
      </w:r>
      <w:r w:rsidR="00727012" w:rsidRPr="00CF0E02">
        <w:t xml:space="preserve">contracted </w:t>
      </w:r>
      <w:r w:rsidRPr="009431CE">
        <w:t>MI against agreed SLAs.</w:t>
      </w:r>
      <w:r w:rsidR="00D310DE">
        <w:t xml:space="preserve"> Management of suppliers to achieve all agreed SLAs. </w:t>
      </w:r>
      <w:r w:rsidR="00D310DE" w:rsidRPr="00CF0E02">
        <w:t>Establishment, monitoring and c</w:t>
      </w:r>
      <w:r w:rsidR="00D310DE" w:rsidRPr="009431CE">
        <w:t>ompletion of corrective action plans and audits.</w:t>
      </w:r>
      <w:r w:rsidR="00FD459E">
        <w:t xml:space="preserve"> </w:t>
      </w:r>
      <w:r w:rsidR="00C02C54" w:rsidRPr="00CF0E02">
        <w:t>R</w:t>
      </w:r>
      <w:r w:rsidRPr="009431CE">
        <w:t>eview</w:t>
      </w:r>
      <w:r w:rsidR="00C02C54" w:rsidRPr="00CF0E02">
        <w:t>ing</w:t>
      </w:r>
      <w:r w:rsidRPr="009431CE">
        <w:t xml:space="preserve"> </w:t>
      </w:r>
      <w:r w:rsidR="00065B93" w:rsidRPr="00CF0E02">
        <w:t xml:space="preserve">and validating </w:t>
      </w:r>
      <w:r w:rsidRPr="009431CE">
        <w:t>incoming supply chain invoices against MI</w:t>
      </w:r>
      <w:r w:rsidR="00065B93" w:rsidRPr="00CF0E02">
        <w:t>.</w:t>
      </w:r>
      <w:r w:rsidRPr="009431CE">
        <w:t xml:space="preserve"> </w:t>
      </w:r>
    </w:p>
    <w:p w14:paraId="7AF67298" w14:textId="77777777" w:rsidR="00C73D4C" w:rsidRPr="00CF0E02" w:rsidRDefault="00C73D4C" w:rsidP="00C73D4C">
      <w:pPr>
        <w:pStyle w:val="Bullet1"/>
        <w:numPr>
          <w:ilvl w:val="0"/>
          <w:numId w:val="13"/>
        </w:numPr>
        <w:ind w:left="709"/>
      </w:pPr>
      <w:bookmarkStart w:id="2" w:name="_Hlk150938581"/>
      <w:r w:rsidRPr="00CF0E02">
        <w:t>Produce, implement and maintain standard operating procedures.</w:t>
      </w:r>
    </w:p>
    <w:bookmarkEnd w:id="2"/>
    <w:p w14:paraId="5B973431" w14:textId="77777777" w:rsidR="00C73D4C" w:rsidRPr="00CF0E02" w:rsidRDefault="00C73D4C" w:rsidP="00C73D4C">
      <w:pPr>
        <w:pStyle w:val="Bullet1"/>
        <w:numPr>
          <w:ilvl w:val="0"/>
          <w:numId w:val="13"/>
        </w:numPr>
        <w:ind w:left="709"/>
      </w:pPr>
      <w:r w:rsidRPr="00CF0E02">
        <w:t>Facilitation and resolution of general queries from supply chain and internal teams in relation to suppliers.</w:t>
      </w:r>
    </w:p>
    <w:p w14:paraId="52BA291F" w14:textId="77777777" w:rsidR="00C73D4C" w:rsidRPr="00CF0E02" w:rsidRDefault="00C73D4C" w:rsidP="00C73D4C">
      <w:pPr>
        <w:pStyle w:val="Bullet1"/>
        <w:numPr>
          <w:ilvl w:val="0"/>
          <w:numId w:val="13"/>
        </w:numPr>
        <w:ind w:left="709"/>
      </w:pPr>
      <w:r w:rsidRPr="00CF0E02">
        <w:t>Obtaining supply chain information or marketing material for the purpose of tenders received by Arc, or client reviews.</w:t>
      </w:r>
    </w:p>
    <w:p w14:paraId="4AC864A0" w14:textId="77777777" w:rsidR="00C73D4C" w:rsidRPr="00CF0E02" w:rsidRDefault="00C73D4C" w:rsidP="00C73D4C">
      <w:pPr>
        <w:pStyle w:val="Bullet1"/>
        <w:numPr>
          <w:ilvl w:val="0"/>
          <w:numId w:val="13"/>
        </w:numPr>
        <w:ind w:left="709"/>
      </w:pPr>
      <w:r w:rsidRPr="00CF0E02">
        <w:t>Support in undertaking supply chain tenders.</w:t>
      </w:r>
    </w:p>
    <w:p w14:paraId="29DC13F5" w14:textId="576D12CA" w:rsidR="00C73D4C" w:rsidRPr="009431CE" w:rsidRDefault="00C73D4C" w:rsidP="00C73D4C">
      <w:pPr>
        <w:pStyle w:val="Bullet1"/>
        <w:numPr>
          <w:ilvl w:val="0"/>
          <w:numId w:val="13"/>
        </w:numPr>
        <w:ind w:left="709"/>
      </w:pPr>
      <w:r w:rsidRPr="00CF0E02">
        <w:rPr>
          <w:lang w:eastAsia="en-GB"/>
        </w:rPr>
        <w:t xml:space="preserve">Assist in the production of performance reports and ensure </w:t>
      </w:r>
      <w:r>
        <w:rPr>
          <w:lang w:eastAsia="en-GB"/>
        </w:rPr>
        <w:t>suppliers are managed</w:t>
      </w:r>
      <w:r w:rsidRPr="00CF0E02">
        <w:rPr>
          <w:lang w:eastAsia="en-GB"/>
        </w:rPr>
        <w:t xml:space="preserve"> in line with acceptable risk tolerances.</w:t>
      </w:r>
    </w:p>
    <w:p w14:paraId="4330E497" w14:textId="201E9F6C" w:rsidR="009431CE" w:rsidRPr="009431CE" w:rsidRDefault="00EF1695" w:rsidP="00C65143">
      <w:pPr>
        <w:pStyle w:val="Bullet1"/>
        <w:numPr>
          <w:ilvl w:val="0"/>
          <w:numId w:val="13"/>
        </w:numPr>
        <w:ind w:left="709"/>
      </w:pPr>
      <w:r>
        <w:t>Manage</w:t>
      </w:r>
      <w:r w:rsidRPr="009431CE">
        <w:t xml:space="preserve"> the supply chain on-boarding </w:t>
      </w:r>
      <w:r>
        <w:t xml:space="preserve">and ongoing management </w:t>
      </w:r>
      <w:r w:rsidRPr="009431CE">
        <w:t>processes</w:t>
      </w:r>
      <w:r>
        <w:t xml:space="preserve"> for allocated </w:t>
      </w:r>
      <w:r>
        <w:lastRenderedPageBreak/>
        <w:t>suppliers</w:t>
      </w:r>
      <w:r w:rsidRPr="009431CE">
        <w:t xml:space="preserve"> in accordance with agreed procedure, to include</w:t>
      </w:r>
      <w:r w:rsidR="009431CE" w:rsidRPr="009431CE">
        <w:t>:</w:t>
      </w:r>
    </w:p>
    <w:p w14:paraId="3B1F1DD9" w14:textId="77777777" w:rsidR="00A334E5" w:rsidRPr="00CF0E02" w:rsidRDefault="009431CE" w:rsidP="00C91DDD">
      <w:pPr>
        <w:pStyle w:val="Bullet1"/>
        <w:numPr>
          <w:ilvl w:val="1"/>
          <w:numId w:val="13"/>
        </w:numPr>
      </w:pPr>
      <w:r w:rsidRPr="009431CE">
        <w:t>Obtaining commercial terms.</w:t>
      </w:r>
    </w:p>
    <w:p w14:paraId="7008CEDD" w14:textId="77777777" w:rsidR="00A334E5" w:rsidRPr="00CF0E02" w:rsidRDefault="009431CE" w:rsidP="00C91DDD">
      <w:pPr>
        <w:pStyle w:val="Bullet1"/>
        <w:numPr>
          <w:ilvl w:val="1"/>
          <w:numId w:val="13"/>
        </w:numPr>
      </w:pPr>
      <w:r w:rsidRPr="009431CE">
        <w:t>Arranging due diligence in conjunction with the Governance Team.</w:t>
      </w:r>
    </w:p>
    <w:p w14:paraId="224035CF" w14:textId="77777777" w:rsidR="00A334E5" w:rsidRDefault="009431CE" w:rsidP="00C91DDD">
      <w:pPr>
        <w:pStyle w:val="Bullet1"/>
        <w:numPr>
          <w:ilvl w:val="1"/>
          <w:numId w:val="13"/>
        </w:numPr>
      </w:pPr>
      <w:r w:rsidRPr="009431CE">
        <w:t>Checklist completion, including agreeing MI format, policy data feeds, operational processes etc.</w:t>
      </w:r>
    </w:p>
    <w:p w14:paraId="66FCF952" w14:textId="10D3379F" w:rsidR="003B3161" w:rsidRDefault="003B3161" w:rsidP="003B3161">
      <w:pPr>
        <w:pStyle w:val="Bullet1"/>
        <w:numPr>
          <w:ilvl w:val="1"/>
          <w:numId w:val="13"/>
        </w:numPr>
      </w:pPr>
      <w:r w:rsidRPr="009431CE">
        <w:t>Implementation of agreed claims bordereau templates with external suppliers.</w:t>
      </w:r>
    </w:p>
    <w:p w14:paraId="4776E388" w14:textId="48F2348B" w:rsidR="00FC4175" w:rsidRPr="00CF0E02" w:rsidRDefault="00FC4175" w:rsidP="00FC4175">
      <w:pPr>
        <w:pStyle w:val="Bullet1"/>
        <w:numPr>
          <w:ilvl w:val="1"/>
          <w:numId w:val="13"/>
        </w:numPr>
      </w:pPr>
      <w:r w:rsidRPr="00CF0E02">
        <w:t>Ensure that agendas and material for supply chain meetings is prepared in advance of meetings and production of meeting minutes and agreed actions following meetings as necessary.</w:t>
      </w:r>
    </w:p>
    <w:p w14:paraId="0E22601F" w14:textId="77777777" w:rsidR="007F712C" w:rsidRPr="00CF0E02" w:rsidRDefault="009431CE" w:rsidP="00C91DDD">
      <w:pPr>
        <w:pStyle w:val="Bullet1"/>
        <w:numPr>
          <w:ilvl w:val="1"/>
          <w:numId w:val="13"/>
        </w:numPr>
      </w:pPr>
      <w:r w:rsidRPr="009431CE">
        <w:t xml:space="preserve">Implementation of standard </w:t>
      </w:r>
      <w:r w:rsidR="00A334E5" w:rsidRPr="00CF0E02">
        <w:t xml:space="preserve">claims handling </w:t>
      </w:r>
      <w:r w:rsidRPr="009431CE">
        <w:t>agreements</w:t>
      </w:r>
      <w:r w:rsidR="00A334E5" w:rsidRPr="00CF0E02">
        <w:t xml:space="preserve"> and as</w:t>
      </w:r>
      <w:r w:rsidR="007F712C" w:rsidRPr="00CF0E02">
        <w:t>sociated schedules</w:t>
      </w:r>
      <w:r w:rsidRPr="009431CE">
        <w:t>.</w:t>
      </w:r>
    </w:p>
    <w:p w14:paraId="4B430EDC" w14:textId="2B80FACD" w:rsidR="009431CE" w:rsidRPr="009431CE" w:rsidRDefault="009431CE" w:rsidP="00C91DDD">
      <w:pPr>
        <w:pStyle w:val="Bullet1"/>
        <w:numPr>
          <w:ilvl w:val="1"/>
          <w:numId w:val="13"/>
        </w:numPr>
      </w:pPr>
      <w:r w:rsidRPr="009431CE">
        <w:t>Arranging drafting and implementation of non-standard agreements.</w:t>
      </w:r>
    </w:p>
    <w:p w14:paraId="37DC82B6" w14:textId="7091992A" w:rsidR="00AE34A3" w:rsidRPr="00CF0E02" w:rsidRDefault="00AE34A3" w:rsidP="00FE784E">
      <w:pPr>
        <w:pStyle w:val="Heading3"/>
        <w:spacing w:before="240" w:after="0"/>
      </w:pPr>
      <w:r w:rsidRPr="00CF0E02">
        <w:t>Business Acumen</w:t>
      </w:r>
    </w:p>
    <w:p w14:paraId="218F5DEE" w14:textId="2E600F85" w:rsidR="00AE34A3" w:rsidRPr="00CF0E02" w:rsidRDefault="00AE34A3" w:rsidP="00304DD9">
      <w:pPr>
        <w:pStyle w:val="Bullet1"/>
        <w:numPr>
          <w:ilvl w:val="0"/>
          <w:numId w:val="15"/>
        </w:numPr>
        <w:ind w:left="567"/>
      </w:pPr>
      <w:r w:rsidRPr="00CF0E02">
        <w:t xml:space="preserve">Ensures </w:t>
      </w:r>
      <w:r w:rsidR="001561C7" w:rsidRPr="00CF0E02">
        <w:t>commercial terms for all arrangements support optimum revenue generation.</w:t>
      </w:r>
    </w:p>
    <w:p w14:paraId="141336D3" w14:textId="5C7A4A38" w:rsidR="00AE34A3" w:rsidRPr="00CF0E02" w:rsidRDefault="00C55A47" w:rsidP="00304DD9">
      <w:pPr>
        <w:pStyle w:val="Bullet1"/>
        <w:numPr>
          <w:ilvl w:val="0"/>
          <w:numId w:val="15"/>
        </w:numPr>
        <w:ind w:left="567"/>
      </w:pPr>
      <w:r w:rsidRPr="00CF0E02">
        <w:t>Manages the establishment of appropriate contractual relationships third party suppliers</w:t>
      </w:r>
      <w:r w:rsidR="00AE34A3" w:rsidRPr="00CF0E02">
        <w:t>.</w:t>
      </w:r>
    </w:p>
    <w:p w14:paraId="79190731" w14:textId="46748BBE" w:rsidR="00C55A47" w:rsidRPr="00CF0E02" w:rsidRDefault="00C55A47" w:rsidP="00304DD9">
      <w:pPr>
        <w:pStyle w:val="Bullet1"/>
        <w:numPr>
          <w:ilvl w:val="0"/>
          <w:numId w:val="15"/>
        </w:numPr>
        <w:ind w:left="567"/>
      </w:pPr>
      <w:r w:rsidRPr="00CF0E02">
        <w:t xml:space="preserve">Provides ongoing review and assessment of </w:t>
      </w:r>
      <w:proofErr w:type="gramStart"/>
      <w:r w:rsidRPr="00CF0E02">
        <w:t>third party</w:t>
      </w:r>
      <w:proofErr w:type="gramEnd"/>
      <w:r w:rsidRPr="00CF0E02">
        <w:t xml:space="preserve"> supplier performance.</w:t>
      </w:r>
    </w:p>
    <w:p w14:paraId="7A1F176C" w14:textId="77777777" w:rsidR="000A4308" w:rsidRPr="00CF0E02" w:rsidRDefault="000A4308" w:rsidP="00304DD9">
      <w:pPr>
        <w:pStyle w:val="Bullet1"/>
        <w:numPr>
          <w:ilvl w:val="0"/>
          <w:numId w:val="15"/>
        </w:numPr>
        <w:ind w:left="567"/>
      </w:pPr>
      <w:r w:rsidRPr="00CF0E02">
        <w:t>Identify and mitigate risks within the supply chain to ensure continuity of supply.</w:t>
      </w:r>
    </w:p>
    <w:p w14:paraId="0F2B82BC" w14:textId="46DF75FC" w:rsidR="000A4308" w:rsidRPr="00CF0E02" w:rsidRDefault="000A4308" w:rsidP="00304DD9">
      <w:pPr>
        <w:pStyle w:val="Bullet1"/>
        <w:numPr>
          <w:ilvl w:val="0"/>
          <w:numId w:val="15"/>
        </w:numPr>
        <w:ind w:left="567"/>
      </w:pPr>
      <w:r w:rsidRPr="00CF0E02">
        <w:t>Integrate sustainability and ESG considerations into procurement practices.</w:t>
      </w:r>
    </w:p>
    <w:p w14:paraId="20A05D64" w14:textId="6DD1C8FF" w:rsidR="001C5529" w:rsidRPr="00CF0E02" w:rsidRDefault="00BA77AA" w:rsidP="00E30AAB">
      <w:pPr>
        <w:pStyle w:val="Heading3"/>
        <w:spacing w:before="240" w:after="0"/>
      </w:pPr>
      <w:r w:rsidRPr="00CF0E02">
        <w:t>Reporting and Analysis</w:t>
      </w:r>
    </w:p>
    <w:p w14:paraId="2BE5DF11" w14:textId="0F0EA27E" w:rsidR="00950B62" w:rsidRPr="00CF0E02" w:rsidRDefault="00950B62" w:rsidP="00304DD9">
      <w:pPr>
        <w:pStyle w:val="Bullet1"/>
        <w:numPr>
          <w:ilvl w:val="0"/>
          <w:numId w:val="14"/>
        </w:numPr>
        <w:ind w:left="567"/>
      </w:pPr>
      <w:r w:rsidRPr="00CF0E02">
        <w:t xml:space="preserve">Prepares regular reports on </w:t>
      </w:r>
      <w:r w:rsidR="00F9522E" w:rsidRPr="00CF0E02">
        <w:t>operational</w:t>
      </w:r>
      <w:r w:rsidRPr="00CF0E02">
        <w:t xml:space="preserve"> metrics.</w:t>
      </w:r>
    </w:p>
    <w:p w14:paraId="5ACE8457" w14:textId="7EBE4A8D" w:rsidR="00950B62" w:rsidRPr="00CF0E02" w:rsidRDefault="00950B62" w:rsidP="00304DD9">
      <w:pPr>
        <w:pStyle w:val="Bullet1"/>
        <w:numPr>
          <w:ilvl w:val="0"/>
          <w:numId w:val="14"/>
        </w:numPr>
        <w:ind w:left="567"/>
      </w:pPr>
      <w:r w:rsidRPr="00CF0E02">
        <w:t>Analy</w:t>
      </w:r>
      <w:r w:rsidR="004D0C7B" w:rsidRPr="00CF0E02">
        <w:t>ses</w:t>
      </w:r>
      <w:r w:rsidRPr="00CF0E02">
        <w:t xml:space="preserve"> data to identify trends, challenges, and opportunities for improvement.</w:t>
      </w:r>
    </w:p>
    <w:p w14:paraId="4E11552E" w14:textId="46E503C5" w:rsidR="00CC0AF5" w:rsidRPr="00CF0E02" w:rsidRDefault="00CC0AF5" w:rsidP="00E30AAB">
      <w:pPr>
        <w:pStyle w:val="Heading3"/>
        <w:spacing w:before="240" w:after="0"/>
      </w:pPr>
      <w:r w:rsidRPr="00CF0E02">
        <w:t>Business Development</w:t>
      </w:r>
    </w:p>
    <w:p w14:paraId="45EB4CB9" w14:textId="50019C8A" w:rsidR="008D22F3" w:rsidRPr="00CF0E02" w:rsidRDefault="008D22F3" w:rsidP="00304DD9">
      <w:pPr>
        <w:pStyle w:val="Bullet1"/>
        <w:numPr>
          <w:ilvl w:val="0"/>
          <w:numId w:val="18"/>
        </w:numPr>
        <w:ind w:left="567"/>
      </w:pPr>
      <w:r w:rsidRPr="00CF0E02">
        <w:t>Support</w:t>
      </w:r>
      <w:r w:rsidR="00A01643" w:rsidRPr="00CF0E02">
        <w:t>s</w:t>
      </w:r>
      <w:r w:rsidRPr="00CF0E02">
        <w:t xml:space="preserve"> the Account Management and Business Development teams with new business pitches and attending meetings with prospective new clients as required.</w:t>
      </w:r>
    </w:p>
    <w:p w14:paraId="41061D01" w14:textId="097CF938" w:rsidR="003A6D54" w:rsidRPr="00CF0E02" w:rsidRDefault="003A6D54" w:rsidP="00304DD9">
      <w:pPr>
        <w:pStyle w:val="Bullet1"/>
        <w:numPr>
          <w:ilvl w:val="0"/>
          <w:numId w:val="18"/>
        </w:numPr>
        <w:ind w:left="567"/>
      </w:pPr>
      <w:r w:rsidRPr="00CF0E02">
        <w:lastRenderedPageBreak/>
        <w:t xml:space="preserve">Builds strong relationships with key </w:t>
      </w:r>
      <w:r w:rsidR="00C4171E" w:rsidRPr="00CF0E02">
        <w:t>outsourced</w:t>
      </w:r>
      <w:r w:rsidR="00A01643" w:rsidRPr="00CF0E02">
        <w:t xml:space="preserve"> partners</w:t>
      </w:r>
      <w:r w:rsidRPr="00CF0E02">
        <w:t>, acting as an escalation point for any issues or concerns.</w:t>
      </w:r>
    </w:p>
    <w:p w14:paraId="3DC4F0DF" w14:textId="4C086576" w:rsidR="00FB5340" w:rsidRPr="00CF0E02" w:rsidRDefault="00FB5340" w:rsidP="00E30AAB">
      <w:pPr>
        <w:pStyle w:val="Heading3"/>
        <w:spacing w:before="240" w:after="0"/>
      </w:pPr>
      <w:r w:rsidRPr="00CF0E02">
        <w:t>Consumer Duty</w:t>
      </w:r>
    </w:p>
    <w:p w14:paraId="32FD075D" w14:textId="77777777" w:rsidR="00824268" w:rsidRPr="00CF0E02" w:rsidRDefault="00AA5BD1" w:rsidP="00304DD9">
      <w:pPr>
        <w:pStyle w:val="Bullet1"/>
        <w:numPr>
          <w:ilvl w:val="0"/>
          <w:numId w:val="17"/>
        </w:numPr>
        <w:ind w:left="567"/>
      </w:pPr>
      <w:r w:rsidRPr="00CF0E02">
        <w:t xml:space="preserve">Ensures </w:t>
      </w:r>
      <w:r w:rsidR="00C659C9" w:rsidRPr="00CF0E02">
        <w:t xml:space="preserve">third parties are aware of Arc commitments and encompass </w:t>
      </w:r>
      <w:r w:rsidR="00824268" w:rsidRPr="00CF0E02">
        <w:t>these within customer engagements.</w:t>
      </w:r>
    </w:p>
    <w:p w14:paraId="39A2D0DB" w14:textId="003CE45C" w:rsidR="00E92335" w:rsidRPr="00CF0E02" w:rsidRDefault="009A5FDF" w:rsidP="00304DD9">
      <w:pPr>
        <w:pStyle w:val="Bullet1"/>
        <w:numPr>
          <w:ilvl w:val="0"/>
          <w:numId w:val="17"/>
        </w:numPr>
        <w:ind w:left="567"/>
      </w:pPr>
      <w:r w:rsidRPr="00CF0E02">
        <w:t xml:space="preserve">Delivers management information that supports Arc’s </w:t>
      </w:r>
      <w:r w:rsidR="00DB79DB" w:rsidRPr="00CF0E02">
        <w:t>approach to consumer duty.</w:t>
      </w:r>
    </w:p>
    <w:p w14:paraId="5296B857" w14:textId="483F2608" w:rsidR="00C35DB4" w:rsidRPr="00CF0E02" w:rsidRDefault="00C35DB4" w:rsidP="00CF0B66">
      <w:pPr>
        <w:pStyle w:val="Heading1"/>
        <w:rPr>
          <w:noProof w:val="0"/>
        </w:rPr>
      </w:pPr>
      <w:r w:rsidRPr="00CF0E02">
        <w:rPr>
          <w:noProof w:val="0"/>
        </w:rPr>
        <w:t>General</w:t>
      </w:r>
    </w:p>
    <w:p w14:paraId="7732E6F5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 xml:space="preserve">To carry out all work in accordance with agreed service standards and FCA regulations </w:t>
      </w:r>
    </w:p>
    <w:p w14:paraId="76D32DE7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>Comply with procedures, policies, and regulations as relevant to remit</w:t>
      </w:r>
    </w:p>
    <w:p w14:paraId="1E94DC26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>Ensure you complete all mandatory and job specific training requirements in line with the required time frames</w:t>
      </w:r>
    </w:p>
    <w:p w14:paraId="4FCE6091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>Complete the required number of hours of Continuing Professional Development (CPD) as it pertains to your role and applicable qualifications and ensure this is logged in Workday</w:t>
      </w:r>
    </w:p>
    <w:p w14:paraId="3B5B6E72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>Fully participate in all applicable fitness and proprietary and performance review processes</w:t>
      </w:r>
    </w:p>
    <w:p w14:paraId="3DA8E81A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>Promptly advise your line manager/HR as to any matter that may be relevant and/or impact your ability to perform in your role</w:t>
      </w:r>
    </w:p>
    <w:p w14:paraId="13DCFB60" w14:textId="77777777" w:rsidR="009062D2" w:rsidRPr="00CF0E02" w:rsidRDefault="009062D2" w:rsidP="009062D2">
      <w:pPr>
        <w:pStyle w:val="Bullet1"/>
        <w:numPr>
          <w:ilvl w:val="0"/>
          <w:numId w:val="1"/>
        </w:numPr>
        <w:spacing w:after="120" w:line="240" w:lineRule="auto"/>
        <w:ind w:left="572" w:hanging="357"/>
      </w:pPr>
      <w:r w:rsidRPr="00CF0E02">
        <w:t xml:space="preserve">Other duties may be assigned </w:t>
      </w:r>
      <w:proofErr w:type="gramStart"/>
      <w:r w:rsidRPr="00CF0E02">
        <w:t>in order to</w:t>
      </w:r>
      <w:proofErr w:type="gramEnd"/>
      <w:r w:rsidRPr="00CF0E02">
        <w:t xml:space="preserve"> meet the on-going needs of the organisation</w:t>
      </w:r>
    </w:p>
    <w:p w14:paraId="5361BAA4" w14:textId="77777777" w:rsidR="00C35DB4" w:rsidRPr="00CF0E02" w:rsidRDefault="00C35DB4" w:rsidP="00E30FC5"/>
    <w:p w14:paraId="22DB418D" w14:textId="77777777" w:rsidR="0081086B" w:rsidRPr="00CF0E02" w:rsidRDefault="0081086B" w:rsidP="00E30FC5">
      <w:pPr>
        <w:rPr>
          <w:shd w:val="clear" w:color="auto" w:fill="auto"/>
        </w:rPr>
      </w:pPr>
    </w:p>
    <w:p w14:paraId="50ED0944" w14:textId="77777777" w:rsidR="00E92335" w:rsidRPr="00CF0E02" w:rsidRDefault="00E92335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color w:val="6F064F"/>
          <w:sz w:val="32"/>
          <w:shd w:val="clear" w:color="auto" w:fill="auto"/>
        </w:rPr>
      </w:pPr>
      <w:r w:rsidRPr="00CF0E02">
        <w:rPr>
          <w:shd w:val="clear" w:color="auto" w:fill="auto"/>
        </w:rPr>
        <w:br w:type="page"/>
      </w:r>
    </w:p>
    <w:p w14:paraId="218E8B09" w14:textId="36114E13" w:rsidR="0067641D" w:rsidRPr="00CF0E02" w:rsidRDefault="0067641D" w:rsidP="00CF0B66">
      <w:pPr>
        <w:pStyle w:val="Heading1"/>
        <w:rPr>
          <w:noProof w:val="0"/>
          <w:shd w:val="clear" w:color="auto" w:fill="auto"/>
        </w:rPr>
      </w:pPr>
      <w:r w:rsidRPr="00CF0E02">
        <w:rPr>
          <w:noProof w:val="0"/>
          <w:shd w:val="clear" w:color="auto" w:fill="auto"/>
        </w:rPr>
        <w:lastRenderedPageBreak/>
        <w:t>Qualifications, experience and competence</w:t>
      </w:r>
    </w:p>
    <w:p w14:paraId="17FCDE5E" w14:textId="3483C7E9" w:rsidR="0067641D" w:rsidRPr="00CF0E02" w:rsidRDefault="0067641D" w:rsidP="00E30FC5">
      <w:pPr>
        <w:pStyle w:val="Heading3"/>
      </w:pPr>
      <w:r w:rsidRPr="00CF0E02">
        <w:t>Qualifications</w:t>
      </w:r>
    </w:p>
    <w:p w14:paraId="3B2D3533" w14:textId="5EC4B667" w:rsidR="0067641D" w:rsidRPr="008851E7" w:rsidRDefault="00C4171E" w:rsidP="00CA13AC">
      <w:pPr>
        <w:pStyle w:val="Bullet1"/>
        <w:numPr>
          <w:ilvl w:val="0"/>
          <w:numId w:val="19"/>
        </w:numPr>
        <w:rPr>
          <w:lang w:val="fr-FR"/>
        </w:rPr>
      </w:pPr>
      <w:r w:rsidRPr="008851E7">
        <w:rPr>
          <w:lang w:val="fr-FR"/>
        </w:rPr>
        <w:t xml:space="preserve">Professional </w:t>
      </w:r>
      <w:proofErr w:type="spellStart"/>
      <w:r w:rsidRPr="008851E7">
        <w:rPr>
          <w:lang w:val="fr-FR"/>
        </w:rPr>
        <w:t>procurement</w:t>
      </w:r>
      <w:proofErr w:type="spellEnd"/>
      <w:r w:rsidRPr="008851E7">
        <w:rPr>
          <w:lang w:val="fr-FR"/>
        </w:rPr>
        <w:t xml:space="preserve"> qualifications</w:t>
      </w:r>
      <w:r w:rsidR="00D76FCA" w:rsidRPr="008851E7">
        <w:rPr>
          <w:lang w:val="fr-FR"/>
        </w:rPr>
        <w:t>, CIPS</w:t>
      </w:r>
      <w:r w:rsidRPr="008851E7">
        <w:rPr>
          <w:lang w:val="fr-FR"/>
        </w:rPr>
        <w:t xml:space="preserve"> (</w:t>
      </w:r>
      <w:proofErr w:type="spellStart"/>
      <w:r w:rsidR="00CA13AC" w:rsidRPr="008851E7">
        <w:rPr>
          <w:lang w:val="fr-FR"/>
        </w:rPr>
        <w:t>desirable</w:t>
      </w:r>
      <w:proofErr w:type="spellEnd"/>
      <w:r w:rsidRPr="008851E7">
        <w:rPr>
          <w:lang w:val="fr-FR"/>
        </w:rPr>
        <w:t>)</w:t>
      </w:r>
    </w:p>
    <w:p w14:paraId="2B68E960" w14:textId="30D28B7B" w:rsidR="00C55A47" w:rsidRPr="00CF0E02" w:rsidRDefault="00C4171E" w:rsidP="00CA13AC">
      <w:pPr>
        <w:pStyle w:val="Bullet1"/>
        <w:numPr>
          <w:ilvl w:val="0"/>
          <w:numId w:val="19"/>
        </w:numPr>
      </w:pPr>
      <w:r w:rsidRPr="00CF0E02">
        <w:t>Dip</w:t>
      </w:r>
      <w:r w:rsidR="00621C2D" w:rsidRPr="00CF0E02">
        <w:t xml:space="preserve"> </w:t>
      </w:r>
      <w:r w:rsidRPr="00CF0E02">
        <w:t>CII</w:t>
      </w:r>
      <w:r w:rsidR="00C55A47" w:rsidRPr="00CF0E02">
        <w:t xml:space="preserve"> (</w:t>
      </w:r>
      <w:proofErr w:type="spellStart"/>
      <w:r w:rsidR="00CA13AC">
        <w:rPr>
          <w:lang w:val="fr-FR"/>
        </w:rPr>
        <w:t>desirable</w:t>
      </w:r>
      <w:proofErr w:type="spellEnd"/>
      <w:r w:rsidR="00C55A47" w:rsidRPr="00CF0E02">
        <w:t>)</w:t>
      </w:r>
    </w:p>
    <w:p w14:paraId="10755F6A" w14:textId="0E75FC10" w:rsidR="0067641D" w:rsidRPr="00CF0E02" w:rsidRDefault="0067641D" w:rsidP="00E92335">
      <w:pPr>
        <w:pStyle w:val="Heading3"/>
        <w:spacing w:before="120"/>
      </w:pPr>
      <w:r w:rsidRPr="00CF0E02">
        <w:t>Experience and functional/technical competencies</w:t>
      </w:r>
    </w:p>
    <w:p w14:paraId="3D34D3AF" w14:textId="2A203BCC" w:rsidR="00DD2E8F" w:rsidRPr="00CF0E02" w:rsidRDefault="00DD2E8F" w:rsidP="008851E7">
      <w:pPr>
        <w:pStyle w:val="Bullet1"/>
        <w:numPr>
          <w:ilvl w:val="0"/>
          <w:numId w:val="20"/>
        </w:numPr>
      </w:pPr>
      <w:r w:rsidRPr="00CF0E02">
        <w:t>Strong background in third-party sourcing and management</w:t>
      </w:r>
    </w:p>
    <w:p w14:paraId="6A0D4E53" w14:textId="4C002914" w:rsidR="00487C1D" w:rsidRPr="00CF0E02" w:rsidRDefault="00C55A47" w:rsidP="008851E7">
      <w:pPr>
        <w:pStyle w:val="Bullet1"/>
        <w:numPr>
          <w:ilvl w:val="0"/>
          <w:numId w:val="20"/>
        </w:numPr>
      </w:pPr>
      <w:r w:rsidRPr="00CF0E02">
        <w:t>Third party management / Procurement experience</w:t>
      </w:r>
    </w:p>
    <w:p w14:paraId="788B3B59" w14:textId="14274760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 xml:space="preserve">Education/Key </w:t>
      </w:r>
      <w:r w:rsidR="0081086B" w:rsidRPr="00CF0E02">
        <w:rPr>
          <w:shd w:val="clear" w:color="auto" w:fill="FFFFFF"/>
        </w:rPr>
        <w:t>s</w:t>
      </w:r>
      <w:r w:rsidRPr="00CF0E02">
        <w:rPr>
          <w:shd w:val="clear" w:color="auto" w:fill="FFFFFF"/>
        </w:rPr>
        <w:t>kills</w:t>
      </w:r>
    </w:p>
    <w:p w14:paraId="1070B714" w14:textId="2221AEBF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 xml:space="preserve">Sound </w:t>
      </w:r>
      <w:r w:rsidR="00050339" w:rsidRPr="00CF0E02">
        <w:t xml:space="preserve">insurance </w:t>
      </w:r>
      <w:r w:rsidRPr="00CF0E02">
        <w:t>knowledge and awareness</w:t>
      </w:r>
    </w:p>
    <w:p w14:paraId="4F2C238D" w14:textId="21B1B1FC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>Numerate and literate</w:t>
      </w:r>
    </w:p>
    <w:p w14:paraId="5EA37BEC" w14:textId="41C30283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 xml:space="preserve">Good understanding of the </w:t>
      </w:r>
      <w:r w:rsidR="00E92335" w:rsidRPr="00CF0E02">
        <w:t xml:space="preserve">UK </w:t>
      </w:r>
      <w:r w:rsidR="00CB6A33" w:rsidRPr="00CF0E02">
        <w:t xml:space="preserve">insurance </w:t>
      </w:r>
      <w:r w:rsidR="0081086B" w:rsidRPr="00CF0E02">
        <w:t>m</w:t>
      </w:r>
      <w:r w:rsidRPr="00CF0E02">
        <w:t>arket</w:t>
      </w:r>
      <w:r w:rsidR="00E92335" w:rsidRPr="00CF0E02">
        <w:t>place</w:t>
      </w:r>
    </w:p>
    <w:p w14:paraId="67F0B484" w14:textId="76B7ABC5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 xml:space="preserve">Good people skills </w:t>
      </w:r>
      <w:r w:rsidR="0081086B" w:rsidRPr="00CF0E02">
        <w:t xml:space="preserve">and </w:t>
      </w:r>
      <w:r w:rsidRPr="00CF0E02">
        <w:t>ability to communicate and build rapport</w:t>
      </w:r>
    </w:p>
    <w:p w14:paraId="184A1B13" w14:textId="77777777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>Essential</w:t>
      </w:r>
    </w:p>
    <w:p w14:paraId="6DFD69B0" w14:textId="77777777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>Excellent verbal and written communication</w:t>
      </w:r>
    </w:p>
    <w:p w14:paraId="171FEA3A" w14:textId="7DE7DEB1" w:rsidR="0067641D" w:rsidRPr="00CF0E02" w:rsidRDefault="00DA04E3" w:rsidP="008851E7">
      <w:pPr>
        <w:pStyle w:val="Bullet1"/>
        <w:numPr>
          <w:ilvl w:val="0"/>
          <w:numId w:val="20"/>
        </w:numPr>
      </w:pPr>
      <w:r w:rsidRPr="00CF0E02">
        <w:t>M</w:t>
      </w:r>
      <w:r w:rsidR="00E92335" w:rsidRPr="00CF0E02">
        <w:t>anagement experience</w:t>
      </w:r>
    </w:p>
    <w:p w14:paraId="1189A254" w14:textId="77777777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>Desirable</w:t>
      </w:r>
    </w:p>
    <w:p w14:paraId="72A6672B" w14:textId="5F751620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>Good investigative and research skills</w:t>
      </w:r>
    </w:p>
    <w:p w14:paraId="0A94E956" w14:textId="20B07356" w:rsidR="0067641D" w:rsidRPr="00CF0E02" w:rsidRDefault="0067641D" w:rsidP="008851E7">
      <w:pPr>
        <w:pStyle w:val="Bullet1"/>
        <w:numPr>
          <w:ilvl w:val="0"/>
          <w:numId w:val="20"/>
        </w:numPr>
      </w:pPr>
      <w:r w:rsidRPr="00CF0E02">
        <w:t xml:space="preserve">Degree </w:t>
      </w:r>
      <w:r w:rsidR="0081086B" w:rsidRPr="00CF0E02">
        <w:t>e</w:t>
      </w:r>
      <w:r w:rsidRPr="00CF0E02">
        <w:t>ducated</w:t>
      </w:r>
    </w:p>
    <w:p w14:paraId="007B2510" w14:textId="54F724E7" w:rsidR="00AF554E" w:rsidRPr="00CF0E02" w:rsidRDefault="00AF554E" w:rsidP="00B248A3">
      <w:pPr>
        <w:pStyle w:val="Heading1"/>
        <w:rPr>
          <w:noProof w:val="0"/>
        </w:rPr>
      </w:pPr>
      <w:r w:rsidRPr="00CF0E02">
        <w:rPr>
          <w:noProof w:val="0"/>
        </w:rPr>
        <w:t>Core behavioural and professional competencies</w:t>
      </w:r>
      <w:r w:rsidR="00CF0B66" w:rsidRPr="00CF0E02">
        <w:rPr>
          <w:noProof w:val="0"/>
        </w:rPr>
        <w:t xml:space="preserve"> </w:t>
      </w:r>
    </w:p>
    <w:p w14:paraId="3A92EDFC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  <w:r w:rsidRPr="00FA7DDA">
        <w:rPr>
          <w:b/>
          <w:bCs/>
          <w:shd w:val="clear" w:color="auto" w:fill="auto"/>
        </w:rPr>
        <w:t>Results Driven:</w:t>
      </w:r>
      <w:r w:rsidRPr="008F5A36">
        <w:rPr>
          <w:shd w:val="clear" w:color="auto" w:fill="auto"/>
        </w:rPr>
        <w:t xml:space="preserve"> Displays energy, determination, and a sense of urgency to get the job done; understands the importance of meeting deadlines to achieve objectives; takes responsibility for organising own workload to ensure goals are met; identifies barriers or issues that might impact adversely on getting the </w:t>
      </w:r>
      <w:r w:rsidRPr="008F5A36">
        <w:rPr>
          <w:shd w:val="clear" w:color="auto" w:fill="auto"/>
        </w:rPr>
        <w:lastRenderedPageBreak/>
        <w:t xml:space="preserve">job done and is proactive and innovative in resolving problems and finding solutions; strives for excellence. </w:t>
      </w:r>
    </w:p>
    <w:p w14:paraId="31C0AC1F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</w:p>
    <w:p w14:paraId="4797F75B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  <w:r w:rsidRPr="00FA7DDA">
        <w:rPr>
          <w:b/>
          <w:bCs/>
          <w:shd w:val="clear" w:color="auto" w:fill="auto"/>
        </w:rPr>
        <w:t>Adaptable &amp; Open to Change:</w:t>
      </w:r>
      <w:r w:rsidRPr="008F5A36">
        <w:rPr>
          <w:shd w:val="clear" w:color="auto" w:fill="auto"/>
        </w:rPr>
        <w:t xml:space="preserve"> Demonstrates a willingness to adapt and change according to circumstances; </w:t>
      </w:r>
      <w:proofErr w:type="gramStart"/>
      <w:r w:rsidRPr="008F5A36">
        <w:rPr>
          <w:shd w:val="clear" w:color="auto" w:fill="auto"/>
        </w:rPr>
        <w:t>is able to</w:t>
      </w:r>
      <w:proofErr w:type="gramEnd"/>
      <w:r w:rsidRPr="008F5A36">
        <w:rPr>
          <w:shd w:val="clear" w:color="auto" w:fill="auto"/>
        </w:rPr>
        <w:t xml:space="preserve"> comfortably handle ambiguity and changes in priorities; identifies the requirement to demonstrate flexibility for the wider benefit of the department and the business; supports change and the drive to continuously improve. </w:t>
      </w:r>
    </w:p>
    <w:p w14:paraId="2BF92C96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</w:p>
    <w:p w14:paraId="113037C2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  <w:r w:rsidRPr="00FA7DDA">
        <w:rPr>
          <w:b/>
          <w:bCs/>
          <w:shd w:val="clear" w:color="auto" w:fill="auto"/>
        </w:rPr>
        <w:t>Relationship Management &amp; Customer Focus:</w:t>
      </w:r>
      <w:r w:rsidRPr="008F5A36">
        <w:rPr>
          <w:shd w:val="clear" w:color="auto" w:fill="auto"/>
        </w:rPr>
        <w:t xml:space="preserve"> 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everything that they do complies with all Treating Customers Fairly (TCF) principles. </w:t>
      </w:r>
    </w:p>
    <w:p w14:paraId="01D7C8F9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</w:p>
    <w:p w14:paraId="4E45B479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  <w:r w:rsidRPr="00FA7DDA">
        <w:rPr>
          <w:b/>
          <w:bCs/>
          <w:shd w:val="clear" w:color="auto" w:fill="auto"/>
        </w:rPr>
        <w:t>Risk Management:</w:t>
      </w:r>
      <w:r w:rsidRPr="008F5A36">
        <w:rPr>
          <w:shd w:val="clear" w:color="auto" w:fill="auto"/>
        </w:rPr>
        <w:t xml:space="preserve"> </w:t>
      </w:r>
      <w:proofErr w:type="gramStart"/>
      <w:r w:rsidRPr="008F5A36">
        <w:rPr>
          <w:shd w:val="clear" w:color="auto" w:fill="auto"/>
        </w:rPr>
        <w:t>Is able to</w:t>
      </w:r>
      <w:proofErr w:type="gramEnd"/>
      <w:r w:rsidRPr="008F5A36">
        <w:rPr>
          <w:shd w:val="clear" w:color="auto" w:fill="auto"/>
        </w:rPr>
        <w:t xml:space="preserve">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 </w:t>
      </w:r>
    </w:p>
    <w:p w14:paraId="632972C1" w14:textId="77777777" w:rsidR="008F5A36" w:rsidRPr="008F5A36" w:rsidRDefault="008F5A36" w:rsidP="00FA7DDA">
      <w:pPr>
        <w:spacing w:after="0"/>
        <w:contextualSpacing/>
        <w:rPr>
          <w:rFonts w:ascii="Poppins SemiBold" w:hAnsi="Poppins SemiBold"/>
          <w:shd w:val="clear" w:color="auto" w:fill="auto"/>
        </w:rPr>
      </w:pPr>
    </w:p>
    <w:p w14:paraId="48243D11" w14:textId="77777777" w:rsidR="008F5A36" w:rsidRPr="008F5A36" w:rsidRDefault="008F5A36" w:rsidP="00FA7DDA">
      <w:pPr>
        <w:rPr>
          <w:shd w:val="clear" w:color="auto" w:fill="auto"/>
        </w:rPr>
      </w:pPr>
      <w:r w:rsidRPr="00FA7DDA">
        <w:rPr>
          <w:b/>
          <w:bCs/>
        </w:rPr>
        <w:t>Collaboration:</w:t>
      </w:r>
      <w:r w:rsidRPr="008F5A36">
        <w:rPr>
          <w:shd w:val="clear" w:color="auto" w:fill="auto"/>
        </w:rPr>
        <w:t xml:space="preserve"> 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 </w:t>
      </w:r>
    </w:p>
    <w:p w14:paraId="31477EAF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</w:p>
    <w:p w14:paraId="1ED3BA52" w14:textId="77777777" w:rsidR="008F5A36" w:rsidRPr="008F5A36" w:rsidRDefault="008F5A36" w:rsidP="00FA7DDA">
      <w:pPr>
        <w:spacing w:after="0"/>
        <w:contextualSpacing/>
        <w:rPr>
          <w:shd w:val="clear" w:color="auto" w:fill="auto"/>
        </w:rPr>
      </w:pPr>
      <w:r w:rsidRPr="00FA7DDA">
        <w:rPr>
          <w:b/>
          <w:bCs/>
        </w:rPr>
        <w:t>Continuing Professional Development:</w:t>
      </w:r>
      <w:r w:rsidRPr="008F5A36">
        <w:rPr>
          <w:shd w:val="clear" w:color="auto" w:fill="auto"/>
        </w:rPr>
        <w:t xml:space="preserve">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 </w:t>
      </w:r>
    </w:p>
    <w:p w14:paraId="3B9F9EDA" w14:textId="77777777" w:rsidR="008F5A36" w:rsidRPr="008F5A36" w:rsidRDefault="008F5A36" w:rsidP="008F5A36">
      <w:pPr>
        <w:rPr>
          <w:rFonts w:ascii="Poppins SemiBold" w:hAnsi="Poppins SemiBold"/>
          <w:shd w:val="clear" w:color="auto" w:fill="auto"/>
        </w:rPr>
      </w:pPr>
    </w:p>
    <w:p w14:paraId="036337EE" w14:textId="0CE1124E" w:rsidR="00AF554E" w:rsidRPr="00CF0E02" w:rsidRDefault="00AF554E" w:rsidP="00E30FC5">
      <w:r w:rsidRPr="00CF0E02">
        <w:t>NOTE:  This job description is not intended to be all-inclusive. Employee may perform other related duties as negotiated to meet the on-going needs of the organisation.</w:t>
      </w:r>
    </w:p>
    <w:p w14:paraId="3F1D3CB8" w14:textId="05E6D91B" w:rsidR="00B24098" w:rsidRPr="00AC4EF9" w:rsidRDefault="00B24098" w:rsidP="0096447C">
      <w:pPr>
        <w:widowControl/>
        <w:autoSpaceDE/>
        <w:autoSpaceDN/>
        <w:spacing w:after="160" w:line="259" w:lineRule="auto"/>
        <w:ind w:right="0"/>
        <w:jc w:val="left"/>
      </w:pPr>
    </w:p>
    <w:sectPr w:rsidR="00B24098" w:rsidRPr="00AC4EF9" w:rsidSect="00496C32">
      <w:headerReference w:type="default" r:id="rId8"/>
      <w:footerReference w:type="default" r:id="rId9"/>
      <w:pgSz w:w="11906" w:h="16838"/>
      <w:pgMar w:top="3969" w:right="709" w:bottom="1985" w:left="73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7393" w14:textId="77777777" w:rsidR="000A4AEB" w:rsidRPr="00CF0E02" w:rsidRDefault="000A4AEB" w:rsidP="005328F3">
      <w:r w:rsidRPr="00CF0E02">
        <w:separator/>
      </w:r>
    </w:p>
    <w:p w14:paraId="3A43CC82" w14:textId="77777777" w:rsidR="000A4AEB" w:rsidRPr="00CF0E02" w:rsidRDefault="000A4AEB" w:rsidP="005328F3"/>
    <w:p w14:paraId="560965AD" w14:textId="77777777" w:rsidR="000A4AEB" w:rsidRPr="00CF0E02" w:rsidRDefault="000A4AEB" w:rsidP="005328F3"/>
  </w:endnote>
  <w:endnote w:type="continuationSeparator" w:id="0">
    <w:p w14:paraId="129800D8" w14:textId="77777777" w:rsidR="000A4AEB" w:rsidRPr="00CF0E02" w:rsidRDefault="000A4AEB" w:rsidP="005328F3">
      <w:r w:rsidRPr="00CF0E02">
        <w:continuationSeparator/>
      </w:r>
    </w:p>
    <w:p w14:paraId="6C651A1C" w14:textId="77777777" w:rsidR="000A4AEB" w:rsidRPr="00CF0E02" w:rsidRDefault="000A4AEB" w:rsidP="005328F3"/>
    <w:p w14:paraId="7DA7947C" w14:textId="77777777" w:rsidR="000A4AEB" w:rsidRPr="00CF0E02" w:rsidRDefault="000A4AEB" w:rsidP="00532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059E" w14:textId="77777777" w:rsidR="00284864" w:rsidRPr="00CF0E02" w:rsidRDefault="00284864" w:rsidP="003B67CC">
    <w:pPr>
      <w:jc w:val="right"/>
      <w:rPr>
        <w:sz w:val="14"/>
        <w:szCs w:val="14"/>
        <w:shd w:val="clear" w:color="auto" w:fill="auto"/>
      </w:rPr>
    </w:pPr>
  </w:p>
  <w:p w14:paraId="2EDE3E97" w14:textId="77777777" w:rsidR="00345C94" w:rsidRPr="00CF0E02" w:rsidRDefault="00D707BF" w:rsidP="003B67CC">
    <w:pPr>
      <w:pStyle w:val="Footer"/>
      <w:jc w:val="right"/>
      <w:rPr>
        <w:sz w:val="22"/>
        <w:szCs w:val="22"/>
        <w:shd w:val="clear" w:color="auto" w:fill="auto"/>
      </w:rPr>
    </w:pPr>
    <w:r w:rsidRPr="00CF0E02">
      <w:rPr>
        <w:noProof/>
        <w:shd w:val="clear" w:color="auto" w:fill="auto"/>
      </w:rPr>
      <w:drawing>
        <wp:anchor distT="0" distB="0" distL="114300" distR="114300" simplePos="0" relativeHeight="251658242" behindDoc="1" locked="0" layoutInCell="1" allowOverlap="1" wp14:anchorId="33AC14B7" wp14:editId="6BA37F9A">
          <wp:simplePos x="0" y="0"/>
          <wp:positionH relativeFrom="page">
            <wp:posOffset>0</wp:posOffset>
          </wp:positionH>
          <wp:positionV relativeFrom="paragraph">
            <wp:posOffset>198691</wp:posOffset>
          </wp:positionV>
          <wp:extent cx="7558052" cy="972185"/>
          <wp:effectExtent l="0" t="0" r="5080" b="0"/>
          <wp:wrapNone/>
          <wp:docPr id="1425062457" name="Picture 1425062457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62457" name="Picture 1425062457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52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3ECFE" w14:textId="77777777" w:rsidR="003B67CC" w:rsidRPr="00CF0E02" w:rsidRDefault="003B67CC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</w:p>
  <w:p w14:paraId="5A778059" w14:textId="77777777" w:rsidR="00E91A02" w:rsidRPr="00CF0E02" w:rsidRDefault="00E91A02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  <w:r w:rsidRPr="00CF0E02">
      <w:rPr>
        <w:sz w:val="22"/>
        <w:szCs w:val="22"/>
        <w:shd w:val="clear" w:color="auto" w:fill="auto"/>
      </w:rPr>
      <w:t xml:space="preserve"> </w:t>
    </w:r>
  </w:p>
  <w:p w14:paraId="3583B963" w14:textId="77777777" w:rsidR="00E91A02" w:rsidRPr="00CF0E02" w:rsidRDefault="00E91A02" w:rsidP="003B67CC">
    <w:pPr>
      <w:pStyle w:val="Footer"/>
      <w:jc w:val="right"/>
      <w:rPr>
        <w:sz w:val="22"/>
        <w:szCs w:val="22"/>
        <w:shd w:val="clear" w:color="auto" w:fill="auto"/>
      </w:rPr>
    </w:pPr>
  </w:p>
  <w:p w14:paraId="196BE9C0" w14:textId="3CE2F692" w:rsidR="00A87471" w:rsidRPr="00CF0E02" w:rsidRDefault="00A87471" w:rsidP="003B67CC">
    <w:pPr>
      <w:pStyle w:val="Footer"/>
      <w:jc w:val="right"/>
      <w:rPr>
        <w:i/>
        <w:iCs/>
        <w:sz w:val="14"/>
        <w:szCs w:val="14"/>
        <w:shd w:val="clear" w:color="auto" w:fill="auto"/>
      </w:rPr>
    </w:pPr>
    <w:r w:rsidRPr="00CF0E02">
      <w:rPr>
        <w:i/>
        <w:iCs/>
        <w:sz w:val="14"/>
        <w:szCs w:val="14"/>
        <w:shd w:val="clear" w:color="auto" w:fill="auto"/>
      </w:rPr>
      <w:t xml:space="preserve"> </w:t>
    </w:r>
    <w:r w:rsidR="00E91A02" w:rsidRPr="00CF0E02">
      <w:rPr>
        <w:i/>
        <w:iCs/>
        <w:sz w:val="14"/>
        <w:szCs w:val="14"/>
        <w:shd w:val="clear" w:color="auto" w:fill="auto"/>
      </w:rPr>
      <w:t xml:space="preserve">Page </w:t>
    </w:r>
    <w:r w:rsidR="00E91A02" w:rsidRPr="00CF0E02">
      <w:rPr>
        <w:i/>
        <w:iCs/>
        <w:sz w:val="14"/>
        <w:szCs w:val="14"/>
        <w:shd w:val="clear" w:color="auto" w:fill="auto"/>
      </w:rPr>
      <w:fldChar w:fldCharType="begin"/>
    </w:r>
    <w:r w:rsidR="00E91A02" w:rsidRPr="00CF0E02">
      <w:rPr>
        <w:i/>
        <w:iCs/>
        <w:sz w:val="14"/>
        <w:szCs w:val="14"/>
        <w:shd w:val="clear" w:color="auto" w:fill="auto"/>
      </w:rPr>
      <w:instrText xml:space="preserve"> PAGE  \* Arabic  \* MERGEFORMAT </w:instrText>
    </w:r>
    <w:r w:rsidR="00E91A02" w:rsidRPr="00CF0E02">
      <w:rPr>
        <w:i/>
        <w:iCs/>
        <w:sz w:val="14"/>
        <w:szCs w:val="14"/>
        <w:shd w:val="clear" w:color="auto" w:fill="auto"/>
      </w:rPr>
      <w:fldChar w:fldCharType="separate"/>
    </w:r>
    <w:r w:rsidR="00E91A02" w:rsidRPr="00CF0E02">
      <w:rPr>
        <w:i/>
        <w:iCs/>
        <w:sz w:val="14"/>
        <w:szCs w:val="14"/>
        <w:shd w:val="clear" w:color="auto" w:fill="auto"/>
      </w:rPr>
      <w:t>1</w:t>
    </w:r>
    <w:r w:rsidR="00E91A02" w:rsidRPr="00CF0E02">
      <w:rPr>
        <w:i/>
        <w:iCs/>
        <w:sz w:val="14"/>
        <w:szCs w:val="14"/>
        <w:shd w:val="clear" w:color="auto" w:fill="auto"/>
      </w:rPr>
      <w:fldChar w:fldCharType="end"/>
    </w:r>
    <w:r w:rsidR="00E91A02" w:rsidRPr="00CF0E02">
      <w:rPr>
        <w:i/>
        <w:iCs/>
        <w:sz w:val="14"/>
        <w:szCs w:val="14"/>
        <w:shd w:val="clear" w:color="auto" w:fill="auto"/>
      </w:rPr>
      <w:t xml:space="preserve"> of </w:t>
    </w:r>
    <w:r w:rsidR="00CF0E02" w:rsidRPr="00CF0E02">
      <w:rPr>
        <w:i/>
        <w:iCs/>
        <w:sz w:val="14"/>
        <w:szCs w:val="14"/>
        <w:shd w:val="clear" w:color="auto" w:fill="auto"/>
      </w:rPr>
      <w:fldChar w:fldCharType="begin"/>
    </w:r>
    <w:r w:rsidR="00CF0E02" w:rsidRPr="00CF0E02">
      <w:rPr>
        <w:i/>
        <w:iCs/>
        <w:sz w:val="14"/>
        <w:szCs w:val="14"/>
        <w:shd w:val="clear" w:color="auto" w:fill="auto"/>
      </w:rPr>
      <w:instrText xml:space="preserve"> NUMPAGES   \* MERGEFORMAT </w:instrText>
    </w:r>
    <w:r w:rsidR="00CF0E02" w:rsidRPr="00CF0E02">
      <w:rPr>
        <w:i/>
        <w:iCs/>
        <w:sz w:val="14"/>
        <w:szCs w:val="14"/>
        <w:shd w:val="clear" w:color="auto" w:fill="auto"/>
      </w:rPr>
      <w:fldChar w:fldCharType="separate"/>
    </w:r>
    <w:r w:rsidR="00CF0E02" w:rsidRPr="00CF0E02">
      <w:rPr>
        <w:i/>
        <w:iCs/>
        <w:sz w:val="14"/>
        <w:szCs w:val="14"/>
        <w:shd w:val="clear" w:color="auto" w:fill="auto"/>
      </w:rPr>
      <w:t>9</w:t>
    </w:r>
    <w:r w:rsidR="00CF0E02" w:rsidRPr="00CF0E02">
      <w:rPr>
        <w:i/>
        <w:iCs/>
        <w:sz w:val="14"/>
        <w:szCs w:val="14"/>
        <w:shd w:val="clear" w:color="auto" w:fill="auto"/>
      </w:rPr>
      <w:fldChar w:fldCharType="end"/>
    </w:r>
  </w:p>
  <w:p w14:paraId="5BF33BF9" w14:textId="77777777" w:rsidR="003B67CC" w:rsidRPr="00CF0E02" w:rsidRDefault="003B67CC" w:rsidP="003B67CC">
    <w:pPr>
      <w:pStyle w:val="Footer"/>
      <w:jc w:val="right"/>
      <w:rPr>
        <w:i/>
        <w:iCs/>
        <w:sz w:val="8"/>
        <w:szCs w:val="8"/>
        <w:shd w:val="clear" w:color="auto" w:fill="auto"/>
      </w:rPr>
    </w:pPr>
  </w:p>
  <w:p w14:paraId="1D509567" w14:textId="77777777" w:rsidR="00A54F83" w:rsidRPr="00CF0E02" w:rsidRDefault="00A54F83" w:rsidP="003B67CC">
    <w:pPr>
      <w:pStyle w:val="Footer"/>
      <w:rPr>
        <w:sz w:val="14"/>
        <w:szCs w:val="14"/>
        <w:shd w:val="clear" w:color="auto" w:fil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77D1" w14:textId="77777777" w:rsidR="000A4AEB" w:rsidRPr="00CF0E02" w:rsidRDefault="000A4AEB" w:rsidP="005328F3">
      <w:r w:rsidRPr="00CF0E02">
        <w:separator/>
      </w:r>
    </w:p>
    <w:p w14:paraId="754C893B" w14:textId="77777777" w:rsidR="000A4AEB" w:rsidRPr="00CF0E02" w:rsidRDefault="000A4AEB" w:rsidP="005328F3"/>
    <w:p w14:paraId="14398377" w14:textId="77777777" w:rsidR="000A4AEB" w:rsidRPr="00CF0E02" w:rsidRDefault="000A4AEB" w:rsidP="005328F3"/>
  </w:footnote>
  <w:footnote w:type="continuationSeparator" w:id="0">
    <w:p w14:paraId="0FE9C477" w14:textId="77777777" w:rsidR="000A4AEB" w:rsidRPr="00CF0E02" w:rsidRDefault="000A4AEB" w:rsidP="005328F3">
      <w:r w:rsidRPr="00CF0E02">
        <w:continuationSeparator/>
      </w:r>
    </w:p>
    <w:p w14:paraId="1622C8B3" w14:textId="77777777" w:rsidR="000A4AEB" w:rsidRPr="00CF0E02" w:rsidRDefault="000A4AEB" w:rsidP="005328F3"/>
    <w:p w14:paraId="4F7A28BC" w14:textId="77777777" w:rsidR="000A4AEB" w:rsidRPr="00CF0E02" w:rsidRDefault="000A4AEB" w:rsidP="00532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8D46" w14:textId="77777777" w:rsidR="00A54F83" w:rsidRPr="00CF0E02" w:rsidRDefault="00433BA2" w:rsidP="005328F3">
    <w:r w:rsidRPr="00CF0E02">
      <w:rPr>
        <w:noProof/>
      </w:rPr>
      <w:drawing>
        <wp:anchor distT="0" distB="0" distL="114300" distR="114300" simplePos="0" relativeHeight="251658240" behindDoc="1" locked="0" layoutInCell="1" allowOverlap="1" wp14:anchorId="1EA74F8B" wp14:editId="13A34A8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161033"/>
          <wp:effectExtent l="0" t="0" r="3175" b="0"/>
          <wp:wrapNone/>
          <wp:docPr id="2145979228" name="Picture 3" descr="A black and purpl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79228" name="Picture 3" descr="A black and purpl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1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E0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70193A" wp14:editId="3984B8A3">
              <wp:simplePos x="0" y="0"/>
              <wp:positionH relativeFrom="page">
                <wp:align>left</wp:align>
              </wp:positionH>
              <wp:positionV relativeFrom="page">
                <wp:posOffset>1685925</wp:posOffset>
              </wp:positionV>
              <wp:extent cx="6619875" cy="352425"/>
              <wp:effectExtent l="0" t="0" r="0" b="9525"/>
              <wp:wrapThrough wrapText="bothSides">
                <wp:wrapPolygon edited="0">
                  <wp:start x="124" y="0"/>
                  <wp:lineTo x="124" y="21016"/>
                  <wp:lineTo x="21382" y="21016"/>
                  <wp:lineTo x="21382" y="0"/>
                  <wp:lineTo x="124" y="0"/>
                </wp:wrapPolygon>
              </wp:wrapThrough>
              <wp:docPr id="9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8AF7" w14:textId="46C804B0" w:rsidR="00FB09DB" w:rsidRPr="00CF0E02" w:rsidRDefault="00C35DB4" w:rsidP="005328F3">
                          <w:pPr>
                            <w:pStyle w:val="Title"/>
                          </w:pPr>
                          <w:r w:rsidRPr="00CF0E02">
                            <w:t>Arc Legal 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0193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132.75pt;width:521.25pt;height:27.7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" filled="f" stroked="f">
              <v:textbox>
                <w:txbxContent>
                  <w:p w14:paraId="4A338AF7" w14:textId="46C804B0" w:rsidR="00FB09DB" w:rsidRPr="00CF0E02" w:rsidRDefault="00C35DB4" w:rsidP="005328F3">
                    <w:pPr>
                      <w:pStyle w:val="Title"/>
                    </w:pPr>
                    <w:r w:rsidRPr="00CF0E02">
                      <w:t>Arc Legal job description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30"/>
    <w:multiLevelType w:val="hybridMultilevel"/>
    <w:tmpl w:val="18062800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97448EB"/>
    <w:multiLevelType w:val="hybridMultilevel"/>
    <w:tmpl w:val="F00817FE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FFFFFFFF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23115CE"/>
    <w:multiLevelType w:val="hybridMultilevel"/>
    <w:tmpl w:val="A724BE36"/>
    <w:lvl w:ilvl="0" w:tplc="FFFFFFFF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F064F"/>
      </w:rPr>
    </w:lvl>
    <w:lvl w:ilvl="1" w:tplc="566A8B38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200915"/>
    <w:multiLevelType w:val="hybridMultilevel"/>
    <w:tmpl w:val="5614C6B2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316C2E1B"/>
    <w:multiLevelType w:val="hybridMultilevel"/>
    <w:tmpl w:val="EABE10AA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81D"/>
    <w:multiLevelType w:val="hybridMultilevel"/>
    <w:tmpl w:val="BD026EA2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42E80338"/>
    <w:multiLevelType w:val="hybridMultilevel"/>
    <w:tmpl w:val="8C3C80EE"/>
    <w:lvl w:ilvl="0" w:tplc="3258CE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6F064F"/>
        <w:sz w:val="24"/>
        <w:u w:color="FFFFFF" w:themeColor="background1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F064F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7945"/>
    <w:multiLevelType w:val="hybridMultilevel"/>
    <w:tmpl w:val="61A679BA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4CE12188"/>
    <w:multiLevelType w:val="hybridMultilevel"/>
    <w:tmpl w:val="2CC87800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4D9E58D9"/>
    <w:multiLevelType w:val="hybridMultilevel"/>
    <w:tmpl w:val="92E00E92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507437D4"/>
    <w:multiLevelType w:val="hybridMultilevel"/>
    <w:tmpl w:val="19C877D8"/>
    <w:lvl w:ilvl="0" w:tplc="0E44C8E0">
      <w:start w:val="1"/>
      <w:numFmt w:val="bullet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CEB791C"/>
    <w:multiLevelType w:val="hybridMultilevel"/>
    <w:tmpl w:val="E41484B6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3EA61F4"/>
    <w:multiLevelType w:val="hybridMultilevel"/>
    <w:tmpl w:val="190C5A98"/>
    <w:lvl w:ilvl="0" w:tplc="ABA46490">
      <w:start w:val="1"/>
      <w:numFmt w:val="bullet"/>
      <w:lvlText w:val="¨"/>
      <w:lvlJc w:val="left"/>
      <w:pPr>
        <w:ind w:left="938" w:hanging="360"/>
      </w:pPr>
      <w:rPr>
        <w:rFonts w:ascii="Symbol" w:hAnsi="Symbol" w:cs="Symbol" w:hint="default"/>
        <w:color w:val="6F064F" w:themeColor="text1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6A5807CA"/>
    <w:multiLevelType w:val="hybridMultilevel"/>
    <w:tmpl w:val="C61E0BBA"/>
    <w:lvl w:ilvl="0" w:tplc="FFFFFFFF">
      <w:start w:val="1"/>
      <w:numFmt w:val="bullet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1C08D698">
      <w:start w:val="1"/>
      <w:numFmt w:val="bullet"/>
      <w:pStyle w:val="Bullet2"/>
      <w:lvlText w:val=""/>
      <w:lvlJc w:val="left"/>
      <w:pPr>
        <w:ind w:left="1298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19671852">
    <w:abstractNumId w:val="11"/>
  </w:num>
  <w:num w:numId="2" w16cid:durableId="610547773">
    <w:abstractNumId w:val="14"/>
  </w:num>
  <w:num w:numId="3" w16cid:durableId="2053264296">
    <w:abstractNumId w:val="5"/>
  </w:num>
  <w:num w:numId="4" w16cid:durableId="1184199761">
    <w:abstractNumId w:val="11"/>
  </w:num>
  <w:num w:numId="5" w16cid:durableId="571233673">
    <w:abstractNumId w:val="11"/>
  </w:num>
  <w:num w:numId="6" w16cid:durableId="160318969">
    <w:abstractNumId w:val="11"/>
  </w:num>
  <w:num w:numId="7" w16cid:durableId="879441087">
    <w:abstractNumId w:val="11"/>
  </w:num>
  <w:num w:numId="8" w16cid:durableId="1279071557">
    <w:abstractNumId w:val="11"/>
  </w:num>
  <w:num w:numId="9" w16cid:durableId="668749101">
    <w:abstractNumId w:val="11"/>
  </w:num>
  <w:num w:numId="10" w16cid:durableId="234894787">
    <w:abstractNumId w:val="7"/>
  </w:num>
  <w:num w:numId="11" w16cid:durableId="1416320732">
    <w:abstractNumId w:val="2"/>
  </w:num>
  <w:num w:numId="12" w16cid:durableId="812521765">
    <w:abstractNumId w:val="8"/>
  </w:num>
  <w:num w:numId="13" w16cid:durableId="354697873">
    <w:abstractNumId w:val="1"/>
  </w:num>
  <w:num w:numId="14" w16cid:durableId="1475023807">
    <w:abstractNumId w:val="6"/>
  </w:num>
  <w:num w:numId="15" w16cid:durableId="2037348468">
    <w:abstractNumId w:val="12"/>
  </w:num>
  <w:num w:numId="16" w16cid:durableId="861629114">
    <w:abstractNumId w:val="3"/>
  </w:num>
  <w:num w:numId="17" w16cid:durableId="2089378098">
    <w:abstractNumId w:val="0"/>
  </w:num>
  <w:num w:numId="18" w16cid:durableId="1073165036">
    <w:abstractNumId w:val="9"/>
  </w:num>
  <w:num w:numId="19" w16cid:durableId="1606958613">
    <w:abstractNumId w:val="13"/>
  </w:num>
  <w:num w:numId="20" w16cid:durableId="103774887">
    <w:abstractNumId w:val="4"/>
  </w:num>
  <w:num w:numId="21" w16cid:durableId="153572709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4"/>
    <w:rsid w:val="00006840"/>
    <w:rsid w:val="00010682"/>
    <w:rsid w:val="000132F7"/>
    <w:rsid w:val="00013536"/>
    <w:rsid w:val="000164C2"/>
    <w:rsid w:val="000207CA"/>
    <w:rsid w:val="00021DE1"/>
    <w:rsid w:val="0002424F"/>
    <w:rsid w:val="00043C97"/>
    <w:rsid w:val="00046E55"/>
    <w:rsid w:val="00050339"/>
    <w:rsid w:val="00051FFB"/>
    <w:rsid w:val="00061EAC"/>
    <w:rsid w:val="0006314A"/>
    <w:rsid w:val="00065B93"/>
    <w:rsid w:val="00066212"/>
    <w:rsid w:val="00067E87"/>
    <w:rsid w:val="00081A01"/>
    <w:rsid w:val="00081C19"/>
    <w:rsid w:val="000A4308"/>
    <w:rsid w:val="000A4AEB"/>
    <w:rsid w:val="000A5AFE"/>
    <w:rsid w:val="000A7512"/>
    <w:rsid w:val="000B22FC"/>
    <w:rsid w:val="000B48BD"/>
    <w:rsid w:val="000B4BBC"/>
    <w:rsid w:val="000E082F"/>
    <w:rsid w:val="000E08F2"/>
    <w:rsid w:val="000E632B"/>
    <w:rsid w:val="000E7132"/>
    <w:rsid w:val="000F046A"/>
    <w:rsid w:val="000F22DC"/>
    <w:rsid w:val="00106B3C"/>
    <w:rsid w:val="0011274B"/>
    <w:rsid w:val="00116FE7"/>
    <w:rsid w:val="00123E1F"/>
    <w:rsid w:val="001262C7"/>
    <w:rsid w:val="00126E8D"/>
    <w:rsid w:val="001324A2"/>
    <w:rsid w:val="001418D4"/>
    <w:rsid w:val="00152A1E"/>
    <w:rsid w:val="00152A85"/>
    <w:rsid w:val="001561C7"/>
    <w:rsid w:val="00164DAD"/>
    <w:rsid w:val="0018474F"/>
    <w:rsid w:val="00185168"/>
    <w:rsid w:val="0019583D"/>
    <w:rsid w:val="00196D32"/>
    <w:rsid w:val="001A62E8"/>
    <w:rsid w:val="001B49CF"/>
    <w:rsid w:val="001B769B"/>
    <w:rsid w:val="001C5529"/>
    <w:rsid w:val="001D2098"/>
    <w:rsid w:val="001D379E"/>
    <w:rsid w:val="001D71AA"/>
    <w:rsid w:val="001D7D44"/>
    <w:rsid w:val="001E2065"/>
    <w:rsid w:val="001F2106"/>
    <w:rsid w:val="001F28F5"/>
    <w:rsid w:val="001F5B7E"/>
    <w:rsid w:val="00223EBF"/>
    <w:rsid w:val="00233859"/>
    <w:rsid w:val="00237935"/>
    <w:rsid w:val="00245601"/>
    <w:rsid w:val="00246D54"/>
    <w:rsid w:val="0027061D"/>
    <w:rsid w:val="00273553"/>
    <w:rsid w:val="00277AFE"/>
    <w:rsid w:val="00282575"/>
    <w:rsid w:val="00284864"/>
    <w:rsid w:val="002A015A"/>
    <w:rsid w:val="002A0FDA"/>
    <w:rsid w:val="002B29DD"/>
    <w:rsid w:val="002B2BC9"/>
    <w:rsid w:val="002B69BB"/>
    <w:rsid w:val="002C32A1"/>
    <w:rsid w:val="002C78A1"/>
    <w:rsid w:val="002D18D2"/>
    <w:rsid w:val="002D2E0D"/>
    <w:rsid w:val="002D50BC"/>
    <w:rsid w:val="002E0006"/>
    <w:rsid w:val="002F2215"/>
    <w:rsid w:val="00304DD9"/>
    <w:rsid w:val="0031144D"/>
    <w:rsid w:val="00321B14"/>
    <w:rsid w:val="00326733"/>
    <w:rsid w:val="00345C94"/>
    <w:rsid w:val="0034623A"/>
    <w:rsid w:val="00346F47"/>
    <w:rsid w:val="00347E60"/>
    <w:rsid w:val="00351C89"/>
    <w:rsid w:val="003606CB"/>
    <w:rsid w:val="0036167C"/>
    <w:rsid w:val="003645DD"/>
    <w:rsid w:val="00365F6D"/>
    <w:rsid w:val="00387409"/>
    <w:rsid w:val="00393C9C"/>
    <w:rsid w:val="00394282"/>
    <w:rsid w:val="003A6D54"/>
    <w:rsid w:val="003B2BC7"/>
    <w:rsid w:val="003B3161"/>
    <w:rsid w:val="003B6311"/>
    <w:rsid w:val="003B67CC"/>
    <w:rsid w:val="003C0138"/>
    <w:rsid w:val="003C1D45"/>
    <w:rsid w:val="003C51E9"/>
    <w:rsid w:val="003D1226"/>
    <w:rsid w:val="003D4969"/>
    <w:rsid w:val="003E73E5"/>
    <w:rsid w:val="0040091B"/>
    <w:rsid w:val="004067CD"/>
    <w:rsid w:val="00411B47"/>
    <w:rsid w:val="004138C7"/>
    <w:rsid w:val="00417C2D"/>
    <w:rsid w:val="004211D6"/>
    <w:rsid w:val="004301A9"/>
    <w:rsid w:val="00431C86"/>
    <w:rsid w:val="00432C72"/>
    <w:rsid w:val="00433BA2"/>
    <w:rsid w:val="004349F9"/>
    <w:rsid w:val="00436084"/>
    <w:rsid w:val="00441D71"/>
    <w:rsid w:val="0044527C"/>
    <w:rsid w:val="00456631"/>
    <w:rsid w:val="00457EDE"/>
    <w:rsid w:val="00464DD5"/>
    <w:rsid w:val="004664C5"/>
    <w:rsid w:val="00481D9E"/>
    <w:rsid w:val="00487C1D"/>
    <w:rsid w:val="00496C32"/>
    <w:rsid w:val="004A4309"/>
    <w:rsid w:val="004C2374"/>
    <w:rsid w:val="004C4863"/>
    <w:rsid w:val="004D0C7B"/>
    <w:rsid w:val="004D4500"/>
    <w:rsid w:val="004E459D"/>
    <w:rsid w:val="004E4AEE"/>
    <w:rsid w:val="004F0E4D"/>
    <w:rsid w:val="004F4A31"/>
    <w:rsid w:val="0051164C"/>
    <w:rsid w:val="0051522E"/>
    <w:rsid w:val="005312F9"/>
    <w:rsid w:val="005328F3"/>
    <w:rsid w:val="005363AA"/>
    <w:rsid w:val="00543E69"/>
    <w:rsid w:val="00553C17"/>
    <w:rsid w:val="00561C75"/>
    <w:rsid w:val="005664D7"/>
    <w:rsid w:val="00574AB6"/>
    <w:rsid w:val="005766D6"/>
    <w:rsid w:val="0057707D"/>
    <w:rsid w:val="0058607A"/>
    <w:rsid w:val="0058678E"/>
    <w:rsid w:val="00591674"/>
    <w:rsid w:val="00591EAD"/>
    <w:rsid w:val="0059343E"/>
    <w:rsid w:val="005941A9"/>
    <w:rsid w:val="005946FA"/>
    <w:rsid w:val="005C043B"/>
    <w:rsid w:val="005C32E4"/>
    <w:rsid w:val="005C4008"/>
    <w:rsid w:val="005C48E0"/>
    <w:rsid w:val="005E3481"/>
    <w:rsid w:val="005E619E"/>
    <w:rsid w:val="005E7009"/>
    <w:rsid w:val="005F4AA2"/>
    <w:rsid w:val="0060184E"/>
    <w:rsid w:val="00604DA8"/>
    <w:rsid w:val="00607C5D"/>
    <w:rsid w:val="006133E3"/>
    <w:rsid w:val="00614C61"/>
    <w:rsid w:val="00616CE0"/>
    <w:rsid w:val="00621C2D"/>
    <w:rsid w:val="00625E40"/>
    <w:rsid w:val="00637F60"/>
    <w:rsid w:val="00641D47"/>
    <w:rsid w:val="006432F3"/>
    <w:rsid w:val="0064614D"/>
    <w:rsid w:val="0065048C"/>
    <w:rsid w:val="0067641D"/>
    <w:rsid w:val="006870DA"/>
    <w:rsid w:val="0069090A"/>
    <w:rsid w:val="00691DDA"/>
    <w:rsid w:val="00695769"/>
    <w:rsid w:val="00695F99"/>
    <w:rsid w:val="006960B9"/>
    <w:rsid w:val="00697ADD"/>
    <w:rsid w:val="006A7E17"/>
    <w:rsid w:val="006B10AE"/>
    <w:rsid w:val="006C5EE0"/>
    <w:rsid w:val="006C75A7"/>
    <w:rsid w:val="006D4764"/>
    <w:rsid w:val="006D609D"/>
    <w:rsid w:val="006E04D5"/>
    <w:rsid w:val="006E2C46"/>
    <w:rsid w:val="006E332D"/>
    <w:rsid w:val="006E5623"/>
    <w:rsid w:val="00706CDF"/>
    <w:rsid w:val="00710C3B"/>
    <w:rsid w:val="00714275"/>
    <w:rsid w:val="00723E3E"/>
    <w:rsid w:val="00726BE1"/>
    <w:rsid w:val="00727012"/>
    <w:rsid w:val="00727BE1"/>
    <w:rsid w:val="007305B2"/>
    <w:rsid w:val="0074014D"/>
    <w:rsid w:val="00740EA7"/>
    <w:rsid w:val="00743A37"/>
    <w:rsid w:val="00751D4F"/>
    <w:rsid w:val="00754A96"/>
    <w:rsid w:val="00760438"/>
    <w:rsid w:val="00784219"/>
    <w:rsid w:val="00785914"/>
    <w:rsid w:val="00787B63"/>
    <w:rsid w:val="007921F1"/>
    <w:rsid w:val="00793954"/>
    <w:rsid w:val="007A3903"/>
    <w:rsid w:val="007A4763"/>
    <w:rsid w:val="007B22E2"/>
    <w:rsid w:val="007C7B73"/>
    <w:rsid w:val="007D26D8"/>
    <w:rsid w:val="007D459A"/>
    <w:rsid w:val="007D58F3"/>
    <w:rsid w:val="007E7738"/>
    <w:rsid w:val="007E7B5C"/>
    <w:rsid w:val="007F11DB"/>
    <w:rsid w:val="007F26F1"/>
    <w:rsid w:val="007F712C"/>
    <w:rsid w:val="007F7146"/>
    <w:rsid w:val="00802B2E"/>
    <w:rsid w:val="0081086B"/>
    <w:rsid w:val="0082385A"/>
    <w:rsid w:val="00824268"/>
    <w:rsid w:val="00824B57"/>
    <w:rsid w:val="00852E76"/>
    <w:rsid w:val="00853394"/>
    <w:rsid w:val="0085723D"/>
    <w:rsid w:val="008655C6"/>
    <w:rsid w:val="00875F7D"/>
    <w:rsid w:val="0088519D"/>
    <w:rsid w:val="008851E7"/>
    <w:rsid w:val="008870E1"/>
    <w:rsid w:val="008919AD"/>
    <w:rsid w:val="008A6E57"/>
    <w:rsid w:val="008B1914"/>
    <w:rsid w:val="008B3754"/>
    <w:rsid w:val="008B5DD0"/>
    <w:rsid w:val="008C280E"/>
    <w:rsid w:val="008D22F3"/>
    <w:rsid w:val="008E075A"/>
    <w:rsid w:val="008E67E3"/>
    <w:rsid w:val="008E7DDA"/>
    <w:rsid w:val="008E7E86"/>
    <w:rsid w:val="008F5A36"/>
    <w:rsid w:val="008F6347"/>
    <w:rsid w:val="00900954"/>
    <w:rsid w:val="00905B16"/>
    <w:rsid w:val="009062D2"/>
    <w:rsid w:val="00914138"/>
    <w:rsid w:val="009156F0"/>
    <w:rsid w:val="0093022F"/>
    <w:rsid w:val="009369DC"/>
    <w:rsid w:val="00937480"/>
    <w:rsid w:val="00940A62"/>
    <w:rsid w:val="00942E6F"/>
    <w:rsid w:val="009431CE"/>
    <w:rsid w:val="0095099F"/>
    <w:rsid w:val="00950B62"/>
    <w:rsid w:val="0096447C"/>
    <w:rsid w:val="00966DD6"/>
    <w:rsid w:val="00967631"/>
    <w:rsid w:val="00974096"/>
    <w:rsid w:val="00980690"/>
    <w:rsid w:val="0098235C"/>
    <w:rsid w:val="00984094"/>
    <w:rsid w:val="009852BB"/>
    <w:rsid w:val="00996785"/>
    <w:rsid w:val="009A5FDF"/>
    <w:rsid w:val="009A7CB7"/>
    <w:rsid w:val="009B4B0F"/>
    <w:rsid w:val="009B69A7"/>
    <w:rsid w:val="009B6BEA"/>
    <w:rsid w:val="009C0FE8"/>
    <w:rsid w:val="009C196A"/>
    <w:rsid w:val="009C22AA"/>
    <w:rsid w:val="009D050E"/>
    <w:rsid w:val="009D19ED"/>
    <w:rsid w:val="009D50AE"/>
    <w:rsid w:val="009D7279"/>
    <w:rsid w:val="009F5108"/>
    <w:rsid w:val="00A01643"/>
    <w:rsid w:val="00A0221E"/>
    <w:rsid w:val="00A07586"/>
    <w:rsid w:val="00A21422"/>
    <w:rsid w:val="00A31347"/>
    <w:rsid w:val="00A334E5"/>
    <w:rsid w:val="00A35A93"/>
    <w:rsid w:val="00A43E78"/>
    <w:rsid w:val="00A4665B"/>
    <w:rsid w:val="00A54F83"/>
    <w:rsid w:val="00A57813"/>
    <w:rsid w:val="00A62753"/>
    <w:rsid w:val="00A65266"/>
    <w:rsid w:val="00A70B5D"/>
    <w:rsid w:val="00A70D95"/>
    <w:rsid w:val="00A7701F"/>
    <w:rsid w:val="00A77552"/>
    <w:rsid w:val="00A87471"/>
    <w:rsid w:val="00AA5BD1"/>
    <w:rsid w:val="00AA7D95"/>
    <w:rsid w:val="00AB0EE4"/>
    <w:rsid w:val="00AB1F10"/>
    <w:rsid w:val="00AB2FEE"/>
    <w:rsid w:val="00AB6D51"/>
    <w:rsid w:val="00AC4EF9"/>
    <w:rsid w:val="00AC5AA9"/>
    <w:rsid w:val="00AC79D3"/>
    <w:rsid w:val="00AD199B"/>
    <w:rsid w:val="00AD2037"/>
    <w:rsid w:val="00AE34A3"/>
    <w:rsid w:val="00AE3D0C"/>
    <w:rsid w:val="00AF554E"/>
    <w:rsid w:val="00B00FEC"/>
    <w:rsid w:val="00B033B5"/>
    <w:rsid w:val="00B07DE8"/>
    <w:rsid w:val="00B13F32"/>
    <w:rsid w:val="00B14042"/>
    <w:rsid w:val="00B1784C"/>
    <w:rsid w:val="00B20458"/>
    <w:rsid w:val="00B2169A"/>
    <w:rsid w:val="00B24098"/>
    <w:rsid w:val="00B248A3"/>
    <w:rsid w:val="00B2736C"/>
    <w:rsid w:val="00B27918"/>
    <w:rsid w:val="00B364EF"/>
    <w:rsid w:val="00B41674"/>
    <w:rsid w:val="00B458F5"/>
    <w:rsid w:val="00B51996"/>
    <w:rsid w:val="00B63934"/>
    <w:rsid w:val="00B856FE"/>
    <w:rsid w:val="00B90657"/>
    <w:rsid w:val="00B92138"/>
    <w:rsid w:val="00B96FDE"/>
    <w:rsid w:val="00BA2AF9"/>
    <w:rsid w:val="00BA77AA"/>
    <w:rsid w:val="00BB0EA5"/>
    <w:rsid w:val="00BB15B7"/>
    <w:rsid w:val="00BB269C"/>
    <w:rsid w:val="00BB5A45"/>
    <w:rsid w:val="00BC1F5F"/>
    <w:rsid w:val="00BC2F6F"/>
    <w:rsid w:val="00BC6AEE"/>
    <w:rsid w:val="00BD1560"/>
    <w:rsid w:val="00BD472B"/>
    <w:rsid w:val="00BD49F7"/>
    <w:rsid w:val="00BD6C94"/>
    <w:rsid w:val="00BE132F"/>
    <w:rsid w:val="00BE216E"/>
    <w:rsid w:val="00BE353F"/>
    <w:rsid w:val="00BE532B"/>
    <w:rsid w:val="00C02C54"/>
    <w:rsid w:val="00C07550"/>
    <w:rsid w:val="00C10F55"/>
    <w:rsid w:val="00C1622C"/>
    <w:rsid w:val="00C2371A"/>
    <w:rsid w:val="00C27FAC"/>
    <w:rsid w:val="00C35DB4"/>
    <w:rsid w:val="00C4171E"/>
    <w:rsid w:val="00C43EFF"/>
    <w:rsid w:val="00C55A47"/>
    <w:rsid w:val="00C57501"/>
    <w:rsid w:val="00C575E7"/>
    <w:rsid w:val="00C60EA8"/>
    <w:rsid w:val="00C65143"/>
    <w:rsid w:val="00C65678"/>
    <w:rsid w:val="00C659C9"/>
    <w:rsid w:val="00C73D4C"/>
    <w:rsid w:val="00C73E64"/>
    <w:rsid w:val="00C84127"/>
    <w:rsid w:val="00C86C52"/>
    <w:rsid w:val="00C91DDD"/>
    <w:rsid w:val="00C95148"/>
    <w:rsid w:val="00CA1159"/>
    <w:rsid w:val="00CA13AC"/>
    <w:rsid w:val="00CB6A33"/>
    <w:rsid w:val="00CC0AF5"/>
    <w:rsid w:val="00CD2598"/>
    <w:rsid w:val="00CD3C5E"/>
    <w:rsid w:val="00CD641D"/>
    <w:rsid w:val="00CE1794"/>
    <w:rsid w:val="00CE6E23"/>
    <w:rsid w:val="00CE7FCC"/>
    <w:rsid w:val="00CF0B66"/>
    <w:rsid w:val="00CF0E02"/>
    <w:rsid w:val="00CF6AEA"/>
    <w:rsid w:val="00D026FA"/>
    <w:rsid w:val="00D07AF3"/>
    <w:rsid w:val="00D15820"/>
    <w:rsid w:val="00D26277"/>
    <w:rsid w:val="00D310DE"/>
    <w:rsid w:val="00D425F5"/>
    <w:rsid w:val="00D507E7"/>
    <w:rsid w:val="00D53E1C"/>
    <w:rsid w:val="00D55916"/>
    <w:rsid w:val="00D55C0F"/>
    <w:rsid w:val="00D63529"/>
    <w:rsid w:val="00D63E2B"/>
    <w:rsid w:val="00D707BF"/>
    <w:rsid w:val="00D73005"/>
    <w:rsid w:val="00D74A18"/>
    <w:rsid w:val="00D74A9B"/>
    <w:rsid w:val="00D74C8D"/>
    <w:rsid w:val="00D76FCA"/>
    <w:rsid w:val="00D8356E"/>
    <w:rsid w:val="00D900AC"/>
    <w:rsid w:val="00D95935"/>
    <w:rsid w:val="00DA04E3"/>
    <w:rsid w:val="00DA7F2C"/>
    <w:rsid w:val="00DA7FCF"/>
    <w:rsid w:val="00DB13CB"/>
    <w:rsid w:val="00DB443F"/>
    <w:rsid w:val="00DB79DB"/>
    <w:rsid w:val="00DC1DA7"/>
    <w:rsid w:val="00DC2D11"/>
    <w:rsid w:val="00DC3BA2"/>
    <w:rsid w:val="00DD0D96"/>
    <w:rsid w:val="00DD2E8F"/>
    <w:rsid w:val="00DF00B7"/>
    <w:rsid w:val="00DF1AE1"/>
    <w:rsid w:val="00E24209"/>
    <w:rsid w:val="00E30AAB"/>
    <w:rsid w:val="00E30B66"/>
    <w:rsid w:val="00E30FC5"/>
    <w:rsid w:val="00E319A8"/>
    <w:rsid w:val="00E37E13"/>
    <w:rsid w:val="00E52B0C"/>
    <w:rsid w:val="00E55269"/>
    <w:rsid w:val="00E60BFC"/>
    <w:rsid w:val="00E61C3F"/>
    <w:rsid w:val="00E62C6D"/>
    <w:rsid w:val="00E65657"/>
    <w:rsid w:val="00E669A0"/>
    <w:rsid w:val="00E72E54"/>
    <w:rsid w:val="00E7309A"/>
    <w:rsid w:val="00E7517F"/>
    <w:rsid w:val="00E803D0"/>
    <w:rsid w:val="00E83935"/>
    <w:rsid w:val="00E8687A"/>
    <w:rsid w:val="00E86F2C"/>
    <w:rsid w:val="00E91A02"/>
    <w:rsid w:val="00E92335"/>
    <w:rsid w:val="00E948AA"/>
    <w:rsid w:val="00E97A74"/>
    <w:rsid w:val="00EA50B2"/>
    <w:rsid w:val="00EB2229"/>
    <w:rsid w:val="00EB63E6"/>
    <w:rsid w:val="00EC14F3"/>
    <w:rsid w:val="00EC7216"/>
    <w:rsid w:val="00ED1B6A"/>
    <w:rsid w:val="00ED2E2F"/>
    <w:rsid w:val="00ED5EBE"/>
    <w:rsid w:val="00ED6CF6"/>
    <w:rsid w:val="00EF1695"/>
    <w:rsid w:val="00F074AE"/>
    <w:rsid w:val="00F07909"/>
    <w:rsid w:val="00F10B4F"/>
    <w:rsid w:val="00F270E8"/>
    <w:rsid w:val="00F310FF"/>
    <w:rsid w:val="00F62410"/>
    <w:rsid w:val="00F63C52"/>
    <w:rsid w:val="00F66998"/>
    <w:rsid w:val="00F7051B"/>
    <w:rsid w:val="00F711CC"/>
    <w:rsid w:val="00F822A8"/>
    <w:rsid w:val="00F9522E"/>
    <w:rsid w:val="00F97330"/>
    <w:rsid w:val="00FA7AAC"/>
    <w:rsid w:val="00FA7DDA"/>
    <w:rsid w:val="00FB09DB"/>
    <w:rsid w:val="00FB4DC0"/>
    <w:rsid w:val="00FB5340"/>
    <w:rsid w:val="00FB59C7"/>
    <w:rsid w:val="00FC4175"/>
    <w:rsid w:val="00FD1ACF"/>
    <w:rsid w:val="00FD459E"/>
    <w:rsid w:val="00FD6F17"/>
    <w:rsid w:val="00FE03B3"/>
    <w:rsid w:val="00FE72E5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FBBE"/>
  <w15:chartTrackingRefBased/>
  <w15:docId w15:val="{E0E3FB43-645C-4831-9D1A-DC87387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A9"/>
    <w:pPr>
      <w:widowControl w:val="0"/>
      <w:autoSpaceDE w:val="0"/>
      <w:autoSpaceDN w:val="0"/>
      <w:spacing w:after="120" w:line="240" w:lineRule="auto"/>
      <w:ind w:right="-28"/>
      <w:jc w:val="both"/>
    </w:pPr>
    <w:rPr>
      <w:rFonts w:ascii="Poppins" w:eastAsia="Poppins" w:hAnsi="Poppins" w:cs="Poppins"/>
      <w:color w:val="3F3F3E"/>
      <w:sz w:val="20"/>
      <w:szCs w:val="20"/>
      <w:shd w:val="clear" w:color="auto" w:fill="FFFFF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0B66"/>
    <w:pPr>
      <w:jc w:val="left"/>
      <w:outlineLvl w:val="0"/>
    </w:pPr>
    <w:rPr>
      <w:rFonts w:ascii="Poppins SemiBold" w:hAnsi="Poppins SemiBold"/>
      <w:noProof/>
      <w:color w:val="6F064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26F1"/>
    <w:pPr>
      <w:outlineLvl w:val="1"/>
    </w:pPr>
    <w:rPr>
      <w:rFonts w:ascii="Poppins SemiBold"/>
      <w:b/>
      <w:color w:val="68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6F1"/>
    <w:pPr>
      <w:outlineLvl w:val="2"/>
    </w:pPr>
    <w:rPr>
      <w:rFonts w:ascii="Poppins SemiBold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A3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335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6F1"/>
    <w:rPr>
      <w:rFonts w:ascii="Poppins SemiBold" w:eastAsia="Poppins" w:hAnsi="Poppins" w:cs="Poppins"/>
      <w:b/>
      <w:color w:val="68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6F1"/>
    <w:rPr>
      <w:rFonts w:ascii="Poppins SemiBold" w:eastAsia="Poppins" w:hAnsi="Poppins" w:cs="Poppins"/>
      <w:b/>
      <w:color w:val="3F3F3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A2"/>
  </w:style>
  <w:style w:type="character" w:customStyle="1" w:styleId="Heading1Char">
    <w:name w:val="Heading 1 Char"/>
    <w:basedOn w:val="DefaultParagraphFont"/>
    <w:link w:val="Heading1"/>
    <w:uiPriority w:val="9"/>
    <w:rsid w:val="00CF0B66"/>
    <w:rPr>
      <w:rFonts w:ascii="Poppins SemiBold" w:eastAsia="Poppins" w:hAnsi="Poppins SemiBold" w:cs="Poppins"/>
      <w:noProof/>
      <w:color w:val="6F064F"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A3903"/>
    <w:rPr>
      <w:rFonts w:asciiTheme="majorHAnsi" w:eastAsiaTheme="majorEastAsia" w:hAnsiTheme="majorHAnsi" w:cstheme="majorBidi"/>
      <w:i/>
      <w:iCs/>
      <w:color w:val="6E3353" w:themeColor="accent1" w:themeShade="BF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185168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168"/>
    <w:rPr>
      <w:rFonts w:ascii="Poppins" w:eastAsia="Poppins" w:hAnsi="Poppins" w:cs="Poppins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85168"/>
  </w:style>
  <w:style w:type="table" w:styleId="TableGrid">
    <w:name w:val="Table Grid"/>
    <w:basedOn w:val="TableNormal"/>
    <w:uiPriority w:val="39"/>
    <w:rsid w:val="0074014D"/>
    <w:pPr>
      <w:widowControl w:val="0"/>
      <w:autoSpaceDE w:val="0"/>
      <w:autoSpaceDN w:val="0"/>
      <w:spacing w:after="0" w:line="240" w:lineRule="auto"/>
    </w:pPr>
    <w:rPr>
      <w:rFonts w:ascii="Poppins" w:hAnsi="Poppins"/>
      <w:sz w:val="20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F064F"/>
    </w:tcPr>
    <w:tblStylePr w:type="lastRow">
      <w:tblPr/>
      <w:tcPr>
        <w:shd w:val="clear" w:color="auto" w:fill="CFCFCF"/>
      </w:tcPr>
    </w:tblStylePr>
  </w:style>
  <w:style w:type="paragraph" w:styleId="Header">
    <w:name w:val="header"/>
    <w:basedOn w:val="Normal"/>
    <w:link w:val="HeaderChar"/>
    <w:uiPriority w:val="99"/>
    <w:unhideWhenUsed/>
    <w:rsid w:val="007A3903"/>
    <w:pPr>
      <w:tabs>
        <w:tab w:val="center" w:pos="4513"/>
        <w:tab w:val="right" w:pos="9026"/>
      </w:tabs>
    </w:pPr>
  </w:style>
  <w:style w:type="paragraph" w:customStyle="1" w:styleId="Sectionheading">
    <w:name w:val="Section heading"/>
    <w:basedOn w:val="Normal"/>
    <w:link w:val="SectionheadingChar"/>
    <w:rsid w:val="009B69A7"/>
    <w:rPr>
      <w:b/>
      <w:noProof/>
      <w:color w:val="6F064F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A3903"/>
    <w:rPr>
      <w:rFonts w:ascii="Poppins" w:eastAsia="Poppins" w:hAnsi="Poppins" w:cs="Poppins"/>
      <w:color w:val="3F3F3E"/>
      <w:sz w:val="20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9B69A7"/>
    <w:rPr>
      <w:rFonts w:ascii="Poppins" w:eastAsia="Poppins" w:hAnsi="Poppins" w:cs="Poppins"/>
      <w:b/>
      <w:noProof/>
      <w:color w:val="6F064F"/>
      <w:sz w:val="28"/>
    </w:rPr>
  </w:style>
  <w:style w:type="paragraph" w:customStyle="1" w:styleId="Bullet1">
    <w:name w:val="Bullet 1"/>
    <w:basedOn w:val="ListParagraph"/>
    <w:link w:val="Bullet1Char"/>
    <w:autoRedefine/>
    <w:qFormat/>
    <w:rsid w:val="004E4AEE"/>
    <w:pPr>
      <w:spacing w:after="60" w:line="360" w:lineRule="exact"/>
      <w:ind w:left="218" w:right="6"/>
    </w:pPr>
    <w:rPr>
      <w:color w:val="443F3E" w:themeColor="text2"/>
    </w:rPr>
  </w:style>
  <w:style w:type="paragraph" w:customStyle="1" w:styleId="Bullet2">
    <w:name w:val="Bullet 2"/>
    <w:basedOn w:val="ListParagraph"/>
    <w:link w:val="Bullet2Char"/>
    <w:autoRedefine/>
    <w:qFormat/>
    <w:rsid w:val="0069090A"/>
    <w:pPr>
      <w:numPr>
        <w:ilvl w:val="1"/>
        <w:numId w:val="2"/>
      </w:numPr>
      <w:spacing w:line="360" w:lineRule="exact"/>
      <w:ind w:left="1293" w:hanging="357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E216E"/>
    <w:rPr>
      <w:rFonts w:ascii="Poppins" w:eastAsia="Poppins" w:hAnsi="Poppins" w:cs="Poppins"/>
    </w:rPr>
  </w:style>
  <w:style w:type="character" w:customStyle="1" w:styleId="Bullet1Char">
    <w:name w:val="Bullet 1 Char"/>
    <w:basedOn w:val="ListParagraphChar"/>
    <w:link w:val="Bullet1"/>
    <w:rsid w:val="004E4AEE"/>
    <w:rPr>
      <w:rFonts w:ascii="Poppins" w:eastAsia="Poppins" w:hAnsi="Poppins" w:cs="Poppins"/>
      <w:color w:val="443F3E" w:themeColor="text2"/>
      <w:sz w:val="20"/>
      <w:szCs w:val="20"/>
    </w:rPr>
  </w:style>
  <w:style w:type="table" w:styleId="TableGridLight">
    <w:name w:val="Grid Table Light"/>
    <w:basedOn w:val="TableNormal"/>
    <w:uiPriority w:val="40"/>
    <w:rsid w:val="00D900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2Char">
    <w:name w:val="Bullet 2 Char"/>
    <w:basedOn w:val="ListParagraphChar"/>
    <w:link w:val="Bullet2"/>
    <w:rsid w:val="0069090A"/>
    <w:rPr>
      <w:rFonts w:ascii="Poppins" w:eastAsia="Poppins" w:hAnsi="Poppins" w:cs="Poppins"/>
      <w:color w:val="3F3F3E"/>
      <w:sz w:val="20"/>
      <w:szCs w:val="20"/>
    </w:rPr>
  </w:style>
  <w:style w:type="table" w:styleId="PlainTable2">
    <w:name w:val="Plain Table 2"/>
    <w:basedOn w:val="TableNormal"/>
    <w:uiPriority w:val="42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543BE" w:themeColor="text1" w:themeTint="80"/>
        <w:bottom w:val="single" w:sz="4" w:space="0" w:color="F543B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543B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2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1Horz">
      <w:tblPr/>
      <w:tcPr>
        <w:tcBorders>
          <w:top w:val="single" w:sz="4" w:space="0" w:color="F543BE" w:themeColor="text1" w:themeTint="80"/>
          <w:bottom w:val="single" w:sz="4" w:space="0" w:color="F543BE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769CB" w:themeColor="text1" w:themeTint="66"/>
        <w:left w:val="single" w:sz="4" w:space="0" w:color="F769CB" w:themeColor="text1" w:themeTint="66"/>
        <w:bottom w:val="single" w:sz="4" w:space="0" w:color="F769CB" w:themeColor="text1" w:themeTint="66"/>
        <w:right w:val="single" w:sz="4" w:space="0" w:color="F769CB" w:themeColor="text1" w:themeTint="66"/>
        <w:insideH w:val="single" w:sz="4" w:space="0" w:color="F769CB" w:themeColor="text1" w:themeTint="66"/>
        <w:insideV w:val="single" w:sz="4" w:space="0" w:color="F769C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1F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1F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E2CDDB" w:themeColor="accent2" w:themeTint="66"/>
        <w:left w:val="single" w:sz="4" w:space="0" w:color="E2CDDB" w:themeColor="accent2" w:themeTint="66"/>
        <w:bottom w:val="single" w:sz="4" w:space="0" w:color="E2CDDB" w:themeColor="accent2" w:themeTint="66"/>
        <w:right w:val="single" w:sz="4" w:space="0" w:color="E2CDDB" w:themeColor="accent2" w:themeTint="66"/>
        <w:insideH w:val="single" w:sz="4" w:space="0" w:color="E2CDDB" w:themeColor="accent2" w:themeTint="66"/>
        <w:insideV w:val="single" w:sz="4" w:space="0" w:color="E2CD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B4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B4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0E6ED" w:themeColor="accent3" w:themeTint="66"/>
        <w:left w:val="single" w:sz="4" w:space="0" w:color="F0E6ED" w:themeColor="accent3" w:themeTint="66"/>
        <w:bottom w:val="single" w:sz="4" w:space="0" w:color="F0E6ED" w:themeColor="accent3" w:themeTint="66"/>
        <w:right w:val="single" w:sz="4" w:space="0" w:color="F0E6ED" w:themeColor="accent3" w:themeTint="66"/>
        <w:insideH w:val="single" w:sz="4" w:space="0" w:color="F0E6ED" w:themeColor="accent3" w:themeTint="66"/>
        <w:insideV w:val="single" w:sz="4" w:space="0" w:color="F0E6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9D9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D9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31FB2" w:themeColor="text1" w:themeTint="99"/>
        <w:left w:val="single" w:sz="4" w:space="0" w:color="F31FB2" w:themeColor="text1" w:themeTint="99"/>
        <w:bottom w:val="single" w:sz="4" w:space="0" w:color="F31FB2" w:themeColor="text1" w:themeTint="99"/>
        <w:right w:val="single" w:sz="4" w:space="0" w:color="F31FB2" w:themeColor="text1" w:themeTint="99"/>
        <w:insideH w:val="single" w:sz="4" w:space="0" w:color="F31FB2" w:themeColor="text1" w:themeTint="99"/>
        <w:insideV w:val="single" w:sz="4" w:space="0" w:color="F31FB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064F" w:themeColor="text1"/>
          <w:left w:val="single" w:sz="4" w:space="0" w:color="6F064F" w:themeColor="text1"/>
          <w:bottom w:val="single" w:sz="4" w:space="0" w:color="6F064F" w:themeColor="text1"/>
          <w:right w:val="single" w:sz="4" w:space="0" w:color="6F064F" w:themeColor="text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</w:rPr>
      <w:tblPr/>
      <w:tcPr>
        <w:tcBorders>
          <w:top w:val="double" w:sz="4" w:space="0" w:color="6F064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4E5" w:themeFill="text1" w:themeFillTint="33"/>
      </w:tcPr>
    </w:tblStylePr>
    <w:tblStylePr w:type="band1Horz">
      <w:tblPr/>
      <w:tcPr>
        <w:shd w:val="clear" w:color="auto" w:fill="FBB4E5" w:themeFill="text1" w:themeFillTint="33"/>
      </w:tcPr>
    </w:tblStylePr>
  </w:style>
  <w:style w:type="table" w:styleId="PlainTable1">
    <w:name w:val="Plain Table 1"/>
    <w:basedOn w:val="TableNormal"/>
    <w:uiPriority w:val="41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">
    <w:name w:val="Grid Table 5 Dark"/>
    <w:basedOn w:val="TableNormal"/>
    <w:uiPriority w:val="50"/>
    <w:rsid w:val="0093022F"/>
    <w:pPr>
      <w:spacing w:before="120" w:after="12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4E5" w:themeFill="tex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band1Vert">
      <w:tblPr/>
      <w:tcPr>
        <w:shd w:val="clear" w:color="auto" w:fill="F769CB" w:themeFill="text1" w:themeFillTint="66"/>
      </w:tcPr>
    </w:tblStylePr>
    <w:tblStylePr w:type="band1Horz">
      <w:tblPr/>
      <w:tcPr>
        <w:shd w:val="clear" w:color="auto" w:fill="F769CB" w:themeFill="text1" w:themeFillTint="66"/>
      </w:tcPr>
    </w:tblStylePr>
  </w:style>
  <w:style w:type="table" w:styleId="GridTable5Dark-Accent1">
    <w:name w:val="Grid Table 5 Dark Accent 1"/>
    <w:aliases w:val="Arc table 1,Arc table - Accent 1"/>
    <w:basedOn w:val="TableNormal"/>
    <w:uiPriority w:val="50"/>
    <w:rsid w:val="0051522E"/>
    <w:pPr>
      <w:spacing w:before="60" w:after="60" w:line="240" w:lineRule="auto"/>
    </w:pPr>
    <w:rPr>
      <w:rFonts w:ascii="Poppins" w:hAnsi="Poppins"/>
      <w:color w:val="FFFFFF" w:themeColor="background1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6E2" w:themeFill="accent1" w:themeFillTint="33"/>
    </w:tcPr>
    <w:tblStylePr w:type="firstRow">
      <w:rPr>
        <w:rFonts w:ascii="Poppins" w:hAnsi="Poppins"/>
        <w:b w:val="0"/>
        <w:bCs/>
        <w:color w:val="FFFFFF" w:themeColor="background1"/>
        <w:sz w:val="20"/>
      </w:rPr>
      <w:tblPr/>
      <w:tcPr>
        <w:shd w:val="clear" w:color="auto" w:fill="6F064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4470" w:themeFill="accent1"/>
      </w:tcPr>
    </w:tblStylePr>
    <w:tblStylePr w:type="firstCol">
      <w:tblPr/>
      <w:tcPr>
        <w:shd w:val="clear" w:color="auto" w:fill="93447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4470" w:themeFill="accent1"/>
      </w:tcPr>
    </w:tblStylePr>
    <w:tblStylePr w:type="band1Vert">
      <w:tblPr/>
      <w:tcPr>
        <w:shd w:val="clear" w:color="auto" w:fill="D9AEC6" w:themeFill="accent1" w:themeFillTint="66"/>
      </w:tcPr>
    </w:tblStylePr>
    <w:tblStylePr w:type="band1Horz">
      <w:tblPr/>
      <w:tcPr>
        <w:shd w:val="clear" w:color="auto" w:fill="D9AEC6" w:themeFill="accent1" w:themeFillTint="66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table" w:styleId="PlainTable3">
    <w:name w:val="Plain Table 3"/>
    <w:basedOn w:val="TableNormal"/>
    <w:uiPriority w:val="43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543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rc2">
    <w:name w:val="Arc 2"/>
    <w:basedOn w:val="TableNormal"/>
    <w:uiPriority w:val="99"/>
    <w:rsid w:val="00C07550"/>
    <w:pPr>
      <w:spacing w:after="0" w:line="240" w:lineRule="auto"/>
    </w:pPr>
    <w:rPr>
      <w:rFonts w:ascii="Poppins" w:hAnsi="Poppins"/>
      <w:sz w:val="20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F064F" w:themeFill="text1"/>
      </w:tcPr>
    </w:tblStylePr>
    <w:tblStylePr w:type="lastRow">
      <w:tblPr/>
      <w:tcPr>
        <w:shd w:val="clear" w:color="auto" w:fill="D3B4CA" w:themeFill="accent2" w:themeFillTint="99"/>
      </w:tcPr>
    </w:tblStylePr>
    <w:tblStylePr w:type="band1Horz">
      <w:rPr>
        <w:rFonts w:ascii="Poppins" w:hAnsi="Poppins"/>
        <w:sz w:val="20"/>
      </w:rPr>
      <w:tblPr/>
      <w:tcPr>
        <w:shd w:val="clear" w:color="auto" w:fill="D3B4CA" w:themeFill="accent2" w:themeFillTint="99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D1ACF"/>
    <w:pPr>
      <w:ind w:left="567"/>
      <w:jc w:val="left"/>
    </w:pPr>
    <w:rPr>
      <w:iCs/>
      <w:color w:val="FFFFFF" w:themeColor="background1"/>
      <w:sz w:val="28"/>
      <w:szCs w:val="28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sid w:val="00FD1ACF"/>
    <w:rPr>
      <w:rFonts w:ascii="Poppins" w:eastAsia="Poppins" w:hAnsi="Poppins" w:cs="Poppins"/>
      <w:iCs/>
      <w:color w:val="FFFFFF" w:themeColor="background1"/>
      <w:sz w:val="28"/>
      <w:szCs w:val="28"/>
    </w:rPr>
  </w:style>
  <w:style w:type="table" w:styleId="ListTable7ColourfulAccent6">
    <w:name w:val="List Table 7 Colorful Accent 6"/>
    <w:basedOn w:val="TableNormal"/>
    <w:uiPriority w:val="52"/>
    <w:rsid w:val="00066212"/>
    <w:pPr>
      <w:spacing w:after="0" w:line="240" w:lineRule="auto"/>
    </w:pPr>
    <w:rPr>
      <w:color w:val="9B9B9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5" w:themeFill="accent6" w:themeFillTint="33"/>
      </w:tcPr>
    </w:tblStylePr>
    <w:tblStylePr w:type="band1Horz">
      <w:tblPr/>
      <w:tcPr>
        <w:shd w:val="clear" w:color="auto" w:fill="F5F5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43B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43B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43B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43B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D9AEC6" w:themeColor="accent1" w:themeTint="66"/>
        <w:left w:val="single" w:sz="4" w:space="0" w:color="D9AEC6" w:themeColor="accent1" w:themeTint="66"/>
        <w:bottom w:val="single" w:sz="4" w:space="0" w:color="D9AEC6" w:themeColor="accent1" w:themeTint="66"/>
        <w:right w:val="single" w:sz="4" w:space="0" w:color="D9AEC6" w:themeColor="accent1" w:themeTint="66"/>
        <w:insideH w:val="single" w:sz="4" w:space="0" w:color="D9AEC6" w:themeColor="accent1" w:themeTint="66"/>
        <w:insideV w:val="single" w:sz="4" w:space="0" w:color="D9AEC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785A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85A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rc1">
    <w:name w:val="Arc 1"/>
    <w:basedOn w:val="TableNormal"/>
    <w:uiPriority w:val="99"/>
    <w:rsid w:val="0027061D"/>
    <w:pPr>
      <w:spacing w:after="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F064F" w:themeFill="text1"/>
      </w:tcPr>
    </w:tblStylePr>
    <w:tblStylePr w:type="firstCol">
      <w:rPr>
        <w:color w:val="FFFFFF" w:themeColor="background1"/>
      </w:rPr>
      <w:tblPr/>
      <w:tcPr>
        <w:shd w:val="clear" w:color="auto" w:fill="934470" w:themeFill="accent1"/>
      </w:tcPr>
    </w:tblStylePr>
    <w:tblStylePr w:type="band1Vert">
      <w:rPr>
        <w:color w:val="443F3E" w:themeColor="text2"/>
      </w:rPr>
    </w:tblStylePr>
    <w:tblStylePr w:type="band1Horz">
      <w:tblPr/>
      <w:tcPr>
        <w:shd w:val="clear" w:color="auto" w:fill="ECD6E2" w:themeFill="accent1" w:themeFillTint="33"/>
      </w:tcPr>
    </w:tblStylePr>
    <w:tblStylePr w:type="band2Horz">
      <w:rPr>
        <w:color w:val="443F3E" w:themeColor="text2"/>
      </w:rPr>
      <w:tblPr/>
      <w:tcPr>
        <w:shd w:val="clear" w:color="auto" w:fill="C785AA" w:themeFill="accent1" w:themeFillTint="99"/>
      </w:tcPr>
    </w:tblStylePr>
  </w:style>
  <w:style w:type="paragraph" w:customStyle="1" w:styleId="NormalSemibold">
    <w:name w:val="Normal (Semibold)"/>
    <w:basedOn w:val="Normal"/>
    <w:link w:val="NormalSemiboldChar"/>
    <w:qFormat/>
    <w:rsid w:val="00E803D0"/>
    <w:rPr>
      <w:rFonts w:ascii="Poppins SemiBold" w:hAnsi="Poppins SemiBold"/>
      <w:shd w:val="clear" w:color="auto" w:fill="auto"/>
    </w:rPr>
  </w:style>
  <w:style w:type="character" w:customStyle="1" w:styleId="NormalSemiboldChar">
    <w:name w:val="Normal (Semibold) Char"/>
    <w:basedOn w:val="DefaultParagraphFont"/>
    <w:link w:val="NormalSemibold"/>
    <w:rsid w:val="00E803D0"/>
    <w:rPr>
      <w:rFonts w:ascii="Poppins SemiBold" w:eastAsia="Poppins" w:hAnsi="Poppins SemiBold" w:cs="Poppins"/>
      <w:color w:val="3F3F3E"/>
      <w:sz w:val="20"/>
      <w:szCs w:val="20"/>
    </w:rPr>
  </w:style>
  <w:style w:type="paragraph" w:customStyle="1" w:styleId="AmTrustBlack">
    <w:name w:val="AmTrust Black"/>
    <w:basedOn w:val="Normal"/>
    <w:qFormat/>
    <w:rsid w:val="00BE353F"/>
    <w:pPr>
      <w:widowControl/>
      <w:autoSpaceDE/>
      <w:autoSpaceDN/>
      <w:ind w:right="0"/>
      <w:jc w:val="left"/>
    </w:pPr>
    <w:rPr>
      <w:rFonts w:ascii="Arial" w:eastAsia="Times New Roman" w:hAnsi="Arial" w:cs="Times New Roman"/>
      <w:color w:val="6F064F" w:themeColor="text1"/>
      <w:sz w:val="24"/>
      <w:szCs w:val="24"/>
      <w:shd w:val="clear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940A62"/>
    <w:pPr>
      <w:widowControl/>
      <w:autoSpaceDE/>
      <w:autoSpaceDN/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shd w:val="clear" w:color="auto" w:fill="auto"/>
      <w:lang w:eastAsia="en-GB"/>
    </w:rPr>
  </w:style>
  <w:style w:type="table" w:styleId="ListTable3-Accent1">
    <w:name w:val="List Table 3 Accent 1"/>
    <w:basedOn w:val="TableNormal"/>
    <w:uiPriority w:val="48"/>
    <w:rsid w:val="00B24098"/>
    <w:pPr>
      <w:spacing w:after="0" w:line="240" w:lineRule="auto"/>
    </w:pPr>
    <w:tblPr>
      <w:tblStyleRowBandSize w:val="1"/>
      <w:tblStyleColBandSize w:val="1"/>
      <w:tblBorders>
        <w:top w:val="single" w:sz="4" w:space="0" w:color="934470" w:themeColor="accent1"/>
        <w:left w:val="single" w:sz="4" w:space="0" w:color="934470" w:themeColor="accent1"/>
        <w:bottom w:val="single" w:sz="4" w:space="0" w:color="934470" w:themeColor="accent1"/>
        <w:right w:val="single" w:sz="4" w:space="0" w:color="93447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4470" w:themeFill="accent1"/>
      </w:tcPr>
    </w:tblStylePr>
    <w:tblStylePr w:type="lastRow">
      <w:rPr>
        <w:b/>
        <w:bCs/>
      </w:rPr>
      <w:tblPr/>
      <w:tcPr>
        <w:tcBorders>
          <w:top w:val="double" w:sz="4" w:space="0" w:color="93447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4470" w:themeColor="accent1"/>
          <w:right w:val="single" w:sz="4" w:space="0" w:color="934470" w:themeColor="accent1"/>
        </w:tcBorders>
      </w:tcPr>
    </w:tblStylePr>
    <w:tblStylePr w:type="band1Horz">
      <w:tblPr/>
      <w:tcPr>
        <w:tcBorders>
          <w:top w:val="single" w:sz="4" w:space="0" w:color="934470" w:themeColor="accent1"/>
          <w:bottom w:val="single" w:sz="4" w:space="0" w:color="93447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4470" w:themeColor="accent1"/>
          <w:left w:val="nil"/>
        </w:tcBorders>
      </w:tcPr>
    </w:tblStylePr>
    <w:tblStylePr w:type="swCell">
      <w:tblPr/>
      <w:tcPr>
        <w:tcBorders>
          <w:top w:val="double" w:sz="4" w:space="0" w:color="934470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D425F5"/>
    <w:pPr>
      <w:spacing w:after="0" w:line="240" w:lineRule="auto"/>
    </w:pPr>
    <w:rPr>
      <w:rFonts w:ascii="Poppins" w:eastAsia="Poppins" w:hAnsi="Poppins" w:cs="Poppins"/>
      <w:color w:val="3F3F3E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c colours">
      <a:dk1>
        <a:srgbClr val="6F064F"/>
      </a:dk1>
      <a:lt1>
        <a:sysClr val="window" lastClr="FFFFFF"/>
      </a:lt1>
      <a:dk2>
        <a:srgbClr val="443F3E"/>
      </a:dk2>
      <a:lt2>
        <a:srgbClr val="E7E6E6"/>
      </a:lt2>
      <a:accent1>
        <a:srgbClr val="934470"/>
      </a:accent1>
      <a:accent2>
        <a:srgbClr val="B783A7"/>
      </a:accent2>
      <a:accent3>
        <a:srgbClr val="DBC1D3"/>
      </a:accent3>
      <a:accent4>
        <a:srgbClr val="6F6F6E"/>
      </a:accent4>
      <a:accent5>
        <a:srgbClr val="9F9F9F"/>
      </a:accent5>
      <a:accent6>
        <a:srgbClr val="CFCFCF"/>
      </a:accent6>
      <a:hlink>
        <a:srgbClr val="934470"/>
      </a:hlink>
      <a:folHlink>
        <a:srgbClr val="443F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443B-203C-4087-BBC0-4896E221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Catchpole</dc:creator>
  <cp:keywords/>
  <dc:description/>
  <cp:lastModifiedBy>Abigail King</cp:lastModifiedBy>
  <cp:revision>2</cp:revision>
  <cp:lastPrinted>2023-04-05T22:27:00Z</cp:lastPrinted>
  <dcterms:created xsi:type="dcterms:W3CDTF">2026-06-17T10:18:00Z</dcterms:created>
  <dcterms:modified xsi:type="dcterms:W3CDTF">2026-06-17T10:18:00Z</dcterms:modified>
</cp:coreProperties>
</file>