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BA084B" w14:paraId="3BA906FB" w14:textId="77777777" w:rsidTr="006400BF">
        <w:trPr>
          <w:trHeight w:val="596"/>
        </w:trPr>
        <w:tc>
          <w:tcPr>
            <w:tcW w:w="495" w:type="dxa"/>
            <w:vAlign w:val="center"/>
          </w:tcPr>
          <w:p w14:paraId="77F62ED9" w14:textId="1F886666" w:rsidR="00B24EFE" w:rsidRPr="00BA084B" w:rsidRDefault="00B24EFE" w:rsidP="00B639EB">
            <w:pPr>
              <w:pStyle w:val="AmTrustBlack"/>
              <w:rPr>
                <w:rFonts w:cs="Arial"/>
                <w:color w:val="auto"/>
                <w:sz w:val="20"/>
                <w:szCs w:val="20"/>
                <w:lang w:eastAsia="en-GB"/>
              </w:rPr>
            </w:pPr>
            <w:r w:rsidRPr="00BA084B">
              <w:rPr>
                <w:rFonts w:cs="Arial"/>
                <w:color w:val="auto"/>
                <w:sz w:val="20"/>
                <w:szCs w:val="20"/>
                <w:lang w:eastAsia="en-GB"/>
              </w:rPr>
              <w:t>1</w:t>
            </w:r>
            <w:r w:rsidR="00374FE2">
              <w:rPr>
                <w:rFonts w:cs="Arial"/>
                <w:color w:val="auto"/>
                <w:sz w:val="20"/>
                <w:szCs w:val="20"/>
                <w:lang w:eastAsia="en-GB"/>
              </w:rPr>
              <w:t>.</w:t>
            </w:r>
          </w:p>
        </w:tc>
        <w:tc>
          <w:tcPr>
            <w:tcW w:w="2614" w:type="dxa"/>
            <w:vAlign w:val="center"/>
          </w:tcPr>
          <w:p w14:paraId="3A702BAD" w14:textId="77777777" w:rsidR="00B24EFE" w:rsidRPr="00BA084B" w:rsidRDefault="00B24EFE" w:rsidP="00B639EB">
            <w:pPr>
              <w:pStyle w:val="AmTrustBlack"/>
              <w:rPr>
                <w:rFonts w:cs="Arial"/>
                <w:color w:val="auto"/>
                <w:sz w:val="20"/>
                <w:szCs w:val="20"/>
                <w:lang w:eastAsia="en-GB"/>
              </w:rPr>
            </w:pPr>
            <w:r w:rsidRPr="00BA084B">
              <w:rPr>
                <w:rFonts w:cs="Arial"/>
                <w:color w:val="auto"/>
                <w:sz w:val="20"/>
                <w:szCs w:val="20"/>
                <w:lang w:eastAsia="en-GB"/>
              </w:rPr>
              <w:t>Job Title</w:t>
            </w:r>
          </w:p>
        </w:tc>
        <w:tc>
          <w:tcPr>
            <w:tcW w:w="6100" w:type="dxa"/>
            <w:vAlign w:val="center"/>
          </w:tcPr>
          <w:p w14:paraId="7327099F" w14:textId="3FBA4435" w:rsidR="00A03FE5" w:rsidRPr="00BA084B" w:rsidRDefault="00D83ECF" w:rsidP="006400BF">
            <w:pPr>
              <w:pStyle w:val="AmTrustBlack"/>
              <w:rPr>
                <w:rFonts w:cs="Arial"/>
                <w:color w:val="auto"/>
                <w:sz w:val="20"/>
                <w:szCs w:val="20"/>
                <w:lang w:eastAsia="en-GB"/>
              </w:rPr>
            </w:pPr>
            <w:r w:rsidRPr="00340539">
              <w:rPr>
                <w:rFonts w:cs="Arial"/>
                <w:sz w:val="20"/>
                <w:szCs w:val="22"/>
                <w:lang w:eastAsia="en-GB"/>
              </w:rPr>
              <w:t xml:space="preserve">Underwriter, Legal </w:t>
            </w:r>
            <w:r w:rsidRPr="00340539">
              <w:rPr>
                <w:rFonts w:cs="Arial"/>
                <w:color w:val="auto"/>
                <w:sz w:val="20"/>
                <w:szCs w:val="22"/>
                <w:lang w:eastAsia="en-GB"/>
              </w:rPr>
              <w:t>Expenses</w:t>
            </w:r>
            <w:r w:rsidR="00607D48" w:rsidRPr="00340539">
              <w:rPr>
                <w:rFonts w:cs="Arial"/>
                <w:color w:val="auto"/>
                <w:sz w:val="20"/>
                <w:szCs w:val="22"/>
                <w:lang w:eastAsia="en-GB"/>
              </w:rPr>
              <w:t xml:space="preserve"> (after the event)</w:t>
            </w:r>
          </w:p>
        </w:tc>
      </w:tr>
      <w:tr w:rsidR="00900E06" w:rsidRPr="00BA084B" w14:paraId="6A559921" w14:textId="77777777" w:rsidTr="009D1DE2">
        <w:trPr>
          <w:trHeight w:val="567"/>
        </w:trPr>
        <w:tc>
          <w:tcPr>
            <w:tcW w:w="495" w:type="dxa"/>
            <w:vAlign w:val="center"/>
          </w:tcPr>
          <w:p w14:paraId="25B22F84" w14:textId="1874A82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2.</w:t>
            </w:r>
          </w:p>
        </w:tc>
        <w:tc>
          <w:tcPr>
            <w:tcW w:w="2614" w:type="dxa"/>
            <w:vAlign w:val="center"/>
          </w:tcPr>
          <w:p w14:paraId="3FD5B3E5"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Function &amp; Business Unit  </w:t>
            </w:r>
          </w:p>
        </w:tc>
        <w:tc>
          <w:tcPr>
            <w:tcW w:w="6100" w:type="dxa"/>
            <w:vAlign w:val="center"/>
          </w:tcPr>
          <w:p w14:paraId="2EAFE05D" w14:textId="5984969E" w:rsidR="00D83ECF" w:rsidRDefault="00D83ECF" w:rsidP="00900E06">
            <w:pPr>
              <w:pStyle w:val="AmTrustBlack"/>
              <w:rPr>
                <w:rFonts w:cs="Arial"/>
                <w:color w:val="auto"/>
                <w:sz w:val="20"/>
                <w:szCs w:val="20"/>
                <w:lang w:eastAsia="en-GB"/>
              </w:rPr>
            </w:pPr>
            <w:r>
              <w:rPr>
                <w:rFonts w:cs="Arial"/>
                <w:color w:val="auto"/>
                <w:sz w:val="20"/>
                <w:szCs w:val="20"/>
                <w:lang w:eastAsia="en-GB"/>
              </w:rPr>
              <w:t xml:space="preserve">Underwriting - Specialty - Legal </w:t>
            </w:r>
            <w:r w:rsidRPr="00C43842">
              <w:rPr>
                <w:rFonts w:cs="Arial"/>
                <w:color w:val="auto"/>
                <w:sz w:val="20"/>
                <w:szCs w:val="20"/>
                <w:lang w:eastAsia="en-GB"/>
              </w:rPr>
              <w:t>Expenses</w:t>
            </w:r>
            <w:r w:rsidR="00607D48" w:rsidRPr="00C43842">
              <w:rPr>
                <w:rFonts w:cs="Arial"/>
                <w:color w:val="auto"/>
                <w:sz w:val="20"/>
                <w:szCs w:val="20"/>
                <w:lang w:eastAsia="en-GB"/>
              </w:rPr>
              <w:t xml:space="preserve"> </w:t>
            </w:r>
            <w:r w:rsidR="00607D48" w:rsidRPr="00C43842">
              <w:rPr>
                <w:rFonts w:cs="Arial"/>
                <w:color w:val="auto"/>
                <w:sz w:val="22"/>
                <w:lang w:eastAsia="en-GB"/>
              </w:rPr>
              <w:t>(after the event)</w:t>
            </w:r>
          </w:p>
          <w:p w14:paraId="6A416892" w14:textId="75DB32C8" w:rsidR="00D83ECF" w:rsidRPr="00B672B6" w:rsidRDefault="00D83ECF" w:rsidP="00900E06">
            <w:pPr>
              <w:pStyle w:val="AmTrustBlack"/>
              <w:rPr>
                <w:rFonts w:cs="Arial"/>
                <w:color w:val="auto"/>
                <w:sz w:val="20"/>
                <w:szCs w:val="20"/>
                <w:lang w:eastAsia="en-GB"/>
              </w:rPr>
            </w:pPr>
          </w:p>
        </w:tc>
      </w:tr>
      <w:tr w:rsidR="00900E06" w:rsidRPr="00BA084B" w14:paraId="6D0C4BCB" w14:textId="77777777" w:rsidTr="009D1DE2">
        <w:trPr>
          <w:trHeight w:val="566"/>
        </w:trPr>
        <w:tc>
          <w:tcPr>
            <w:tcW w:w="495" w:type="dxa"/>
            <w:vAlign w:val="center"/>
          </w:tcPr>
          <w:p w14:paraId="70E07CFF" w14:textId="7F2D858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3.</w:t>
            </w:r>
          </w:p>
        </w:tc>
        <w:tc>
          <w:tcPr>
            <w:tcW w:w="2614" w:type="dxa"/>
            <w:vAlign w:val="center"/>
          </w:tcPr>
          <w:p w14:paraId="6F28460F"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100" w:type="dxa"/>
            <w:vAlign w:val="center"/>
          </w:tcPr>
          <w:p w14:paraId="77149E5D" w14:textId="3E40863A" w:rsidR="00900E06" w:rsidRPr="00B672B6" w:rsidRDefault="00D83ECF" w:rsidP="00900E06">
            <w:pPr>
              <w:pStyle w:val="AmTrustBlack"/>
              <w:rPr>
                <w:rFonts w:cs="Arial"/>
                <w:color w:val="auto"/>
                <w:sz w:val="20"/>
                <w:szCs w:val="20"/>
                <w:u w:val="single"/>
                <w:lang w:eastAsia="en-GB"/>
              </w:rPr>
            </w:pPr>
            <w:r>
              <w:rPr>
                <w:rFonts w:cs="Arial"/>
                <w:color w:val="auto"/>
                <w:sz w:val="20"/>
                <w:szCs w:val="20"/>
                <w:lang w:eastAsia="en-GB"/>
              </w:rPr>
              <w:t xml:space="preserve">London </w:t>
            </w:r>
          </w:p>
        </w:tc>
      </w:tr>
      <w:tr w:rsidR="00E36489" w:rsidRPr="00BA084B" w14:paraId="3C88CDF8" w14:textId="77777777" w:rsidTr="00A20064">
        <w:trPr>
          <w:trHeight w:val="452"/>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Default="00374FE2" w:rsidP="00E36489">
            <w:pPr>
              <w:pStyle w:val="AmTrustBlack"/>
              <w:rPr>
                <w:rFonts w:cs="Arial"/>
                <w:color w:val="auto"/>
                <w:sz w:val="20"/>
                <w:szCs w:val="20"/>
                <w:lang w:eastAsia="en-GB"/>
              </w:rPr>
            </w:pPr>
            <w:r>
              <w:rPr>
                <w:rFonts w:cs="Arial"/>
                <w:color w:val="auto"/>
                <w:sz w:val="20"/>
                <w:szCs w:val="20"/>
                <w:lang w:eastAsia="en-GB"/>
              </w:rPr>
              <w:t>4</w:t>
            </w:r>
            <w:r w:rsidR="00E36489">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B672B6" w:rsidRDefault="00E36489" w:rsidP="00E36489">
            <w:pPr>
              <w:pStyle w:val="AmTrustBlack"/>
              <w:rPr>
                <w:rFonts w:cs="Arial"/>
                <w:color w:val="auto"/>
                <w:sz w:val="20"/>
                <w:szCs w:val="20"/>
                <w:lang w:eastAsia="en-GB"/>
              </w:rPr>
            </w:pPr>
            <w:r>
              <w:rPr>
                <w:rFonts w:cs="Arial"/>
                <w:color w:val="auto"/>
                <w:sz w:val="20"/>
                <w:szCs w:val="20"/>
                <w:lang w:eastAsia="en-GB"/>
              </w:rPr>
              <w:t xml:space="preserve">Hiring Entity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62572A76" w:rsidR="00E36489" w:rsidRPr="00B672B6" w:rsidRDefault="00D83ECF" w:rsidP="00E36489">
            <w:pPr>
              <w:pStyle w:val="AmTrustBlack"/>
              <w:rPr>
                <w:rFonts w:cs="Arial"/>
                <w:color w:val="auto"/>
                <w:sz w:val="20"/>
                <w:szCs w:val="20"/>
                <w:u w:val="single"/>
                <w:lang w:eastAsia="en-GB"/>
              </w:rPr>
            </w:pPr>
            <w:r>
              <w:rPr>
                <w:rFonts w:cs="Arial"/>
                <w:sz w:val="20"/>
                <w:szCs w:val="20"/>
                <w:lang w:eastAsia="en-GB"/>
              </w:rPr>
              <w:t xml:space="preserve">AmTrust Management Services Limited </w:t>
            </w:r>
          </w:p>
        </w:tc>
      </w:tr>
      <w:tr w:rsidR="00E36489" w:rsidRPr="00BA084B" w14:paraId="72454065" w14:textId="77777777" w:rsidTr="00A20064">
        <w:trPr>
          <w:trHeight w:val="1060"/>
        </w:trPr>
        <w:tc>
          <w:tcPr>
            <w:tcW w:w="495" w:type="dxa"/>
            <w:vAlign w:val="center"/>
          </w:tcPr>
          <w:p w14:paraId="432B4DC0" w14:textId="4E24F840" w:rsidR="00E36489" w:rsidRDefault="00374FE2" w:rsidP="00E36489">
            <w:pPr>
              <w:pStyle w:val="AmTrustBlack"/>
              <w:rPr>
                <w:rFonts w:cs="Arial"/>
                <w:color w:val="auto"/>
                <w:sz w:val="20"/>
                <w:szCs w:val="20"/>
                <w:lang w:eastAsia="en-GB"/>
              </w:rPr>
            </w:pPr>
            <w:r>
              <w:rPr>
                <w:rFonts w:cs="Arial"/>
                <w:color w:val="auto"/>
                <w:sz w:val="20"/>
                <w:szCs w:val="20"/>
                <w:lang w:eastAsia="en-GB"/>
              </w:rPr>
              <w:t>5</w:t>
            </w:r>
            <w:r w:rsidR="00E36489" w:rsidRPr="00C35357">
              <w:rPr>
                <w:rFonts w:cs="Arial"/>
                <w:color w:val="auto"/>
                <w:sz w:val="20"/>
                <w:szCs w:val="20"/>
                <w:lang w:eastAsia="en-GB"/>
              </w:rPr>
              <w:t xml:space="preserve">. </w:t>
            </w:r>
          </w:p>
        </w:tc>
        <w:tc>
          <w:tcPr>
            <w:tcW w:w="2614" w:type="dxa"/>
            <w:vAlign w:val="center"/>
          </w:tcPr>
          <w:p w14:paraId="6F5298A9" w14:textId="6EED6313" w:rsidR="00E36489" w:rsidRPr="00B672B6" w:rsidRDefault="00E36489" w:rsidP="00E36489">
            <w:pPr>
              <w:pStyle w:val="AmTrustBlack"/>
              <w:rPr>
                <w:rFonts w:cs="Arial"/>
                <w:color w:val="auto"/>
                <w:sz w:val="20"/>
                <w:szCs w:val="20"/>
                <w:lang w:eastAsia="en-GB"/>
              </w:rPr>
            </w:pPr>
            <w:r w:rsidRPr="00420889">
              <w:rPr>
                <w:rFonts w:cs="Arial"/>
                <w:color w:val="auto"/>
                <w:sz w:val="20"/>
                <w:szCs w:val="20"/>
                <w:lang w:eastAsia="en-GB"/>
              </w:rPr>
              <w:t>Insurance Distribution Directive (IDD) Continuing Professional Development (CPD) Requirements</w:t>
            </w:r>
          </w:p>
        </w:tc>
        <w:tc>
          <w:tcPr>
            <w:tcW w:w="6100" w:type="dxa"/>
            <w:vAlign w:val="center"/>
          </w:tcPr>
          <w:p w14:paraId="4EB78A66" w14:textId="18DE99C7" w:rsidR="00E36489" w:rsidRPr="00B672B6" w:rsidRDefault="00E36489" w:rsidP="00E36489">
            <w:pPr>
              <w:pStyle w:val="AmTrustBlack"/>
              <w:rPr>
                <w:rFonts w:cs="Arial"/>
                <w:color w:val="auto"/>
                <w:sz w:val="20"/>
                <w:szCs w:val="20"/>
                <w:u w:val="single"/>
                <w:lang w:eastAsia="en-GB"/>
              </w:rPr>
            </w:pPr>
            <w:r w:rsidRPr="00420889">
              <w:rPr>
                <w:rFonts w:cs="Arial"/>
                <w:sz w:val="20"/>
                <w:szCs w:val="20"/>
                <w:lang w:eastAsia="en-GB"/>
              </w:rPr>
              <w:t xml:space="preserve">IDD CPD - in </w:t>
            </w:r>
            <w:r w:rsidR="00A613F9" w:rsidRPr="00420889">
              <w:rPr>
                <w:rFonts w:cs="Arial"/>
                <w:sz w:val="20"/>
                <w:szCs w:val="20"/>
                <w:lang w:eastAsia="en-GB"/>
              </w:rPr>
              <w:t xml:space="preserve">scope </w:t>
            </w:r>
            <w:r w:rsidR="00A613F9">
              <w:rPr>
                <w:rFonts w:cs="Arial"/>
                <w:sz w:val="20"/>
                <w:szCs w:val="20"/>
                <w:lang w:eastAsia="en-GB"/>
              </w:rPr>
              <w:t>-</w:t>
            </w:r>
            <w:r w:rsidR="00D83ECF">
              <w:rPr>
                <w:rFonts w:cs="Arial"/>
                <w:sz w:val="20"/>
                <w:szCs w:val="20"/>
                <w:lang w:eastAsia="en-GB"/>
              </w:rPr>
              <w:t xml:space="preserve"> Yes</w:t>
            </w:r>
          </w:p>
        </w:tc>
      </w:tr>
      <w:tr w:rsidR="009D1DE2" w:rsidRPr="00BA084B" w14:paraId="1A6A0E72" w14:textId="77777777" w:rsidTr="00A20064">
        <w:trPr>
          <w:trHeight w:val="1631"/>
        </w:trPr>
        <w:tc>
          <w:tcPr>
            <w:tcW w:w="495" w:type="dxa"/>
            <w:vAlign w:val="center"/>
          </w:tcPr>
          <w:p w14:paraId="2A41DB15" w14:textId="2A391AA7" w:rsidR="009D1DE2" w:rsidRDefault="00374FE2" w:rsidP="009D1DE2">
            <w:pPr>
              <w:pStyle w:val="AmTrustBlack"/>
              <w:rPr>
                <w:rFonts w:cs="Arial"/>
                <w:color w:val="auto"/>
                <w:sz w:val="20"/>
                <w:szCs w:val="20"/>
                <w:lang w:eastAsia="en-GB"/>
              </w:rPr>
            </w:pPr>
            <w:r>
              <w:rPr>
                <w:rFonts w:cs="Arial"/>
                <w:color w:val="auto"/>
                <w:sz w:val="20"/>
                <w:szCs w:val="20"/>
                <w:lang w:eastAsia="en-GB"/>
              </w:rPr>
              <w:t>6.</w:t>
            </w:r>
          </w:p>
          <w:p w14:paraId="3B7E797D" w14:textId="77777777" w:rsidR="009D1DE2" w:rsidRPr="00BA084B" w:rsidRDefault="009D1DE2" w:rsidP="009D1DE2">
            <w:pPr>
              <w:pStyle w:val="AmTrustBlack"/>
              <w:rPr>
                <w:rFonts w:cs="Arial"/>
                <w:color w:val="auto"/>
                <w:sz w:val="20"/>
                <w:szCs w:val="20"/>
                <w:lang w:eastAsia="en-GB"/>
              </w:rPr>
            </w:pPr>
          </w:p>
        </w:tc>
        <w:tc>
          <w:tcPr>
            <w:tcW w:w="2614" w:type="dxa"/>
            <w:vAlign w:val="center"/>
          </w:tcPr>
          <w:p w14:paraId="7E078779" w14:textId="77777777" w:rsidR="009D1DE2" w:rsidRPr="00B672B6" w:rsidRDefault="009D1DE2" w:rsidP="002C333F">
            <w:pPr>
              <w:pStyle w:val="AmTrustBlack"/>
              <w:rPr>
                <w:rFonts w:cs="Arial"/>
                <w:color w:val="auto"/>
                <w:sz w:val="20"/>
                <w:szCs w:val="20"/>
                <w:lang w:eastAsia="en-GB"/>
              </w:rPr>
            </w:pPr>
            <w:r w:rsidRPr="00B672B6">
              <w:rPr>
                <w:rFonts w:cs="Arial"/>
                <w:color w:val="auto"/>
                <w:sz w:val="20"/>
                <w:szCs w:val="20"/>
                <w:lang w:eastAsia="en-GB"/>
              </w:rPr>
              <w:t>Committee Roles</w:t>
            </w:r>
          </w:p>
          <w:p w14:paraId="01E52FB6" w14:textId="77777777" w:rsidR="009D1DE2" w:rsidRPr="00B672B6" w:rsidRDefault="009D1DE2" w:rsidP="002C333F">
            <w:pPr>
              <w:pStyle w:val="AmTrustBlack"/>
              <w:rPr>
                <w:rFonts w:cs="Arial"/>
                <w:color w:val="auto"/>
                <w:sz w:val="20"/>
                <w:szCs w:val="20"/>
                <w:lang w:eastAsia="en-GB"/>
              </w:rPr>
            </w:pPr>
          </w:p>
        </w:tc>
        <w:tc>
          <w:tcPr>
            <w:tcW w:w="6100" w:type="dxa"/>
            <w:vAlign w:val="center"/>
          </w:tcPr>
          <w:p w14:paraId="50640B3E" w14:textId="77777777" w:rsidR="009D1DE2" w:rsidRPr="00B672B6" w:rsidRDefault="009D1DE2" w:rsidP="002C333F">
            <w:pPr>
              <w:pStyle w:val="AmTrustBlack"/>
              <w:rPr>
                <w:rFonts w:cs="Arial"/>
                <w:color w:val="auto"/>
                <w:sz w:val="20"/>
                <w:szCs w:val="20"/>
                <w:lang w:eastAsia="en-GB"/>
              </w:rPr>
            </w:pPr>
            <w:r w:rsidRPr="00B672B6">
              <w:rPr>
                <w:rFonts w:cs="Arial"/>
                <w:color w:val="auto"/>
                <w:sz w:val="20"/>
                <w:szCs w:val="20"/>
                <w:u w:val="single"/>
                <w:lang w:eastAsia="en-GB"/>
              </w:rPr>
              <w:t>Chair</w:t>
            </w:r>
          </w:p>
          <w:p w14:paraId="5B550F37" w14:textId="447CAA98" w:rsidR="009D1DE2" w:rsidRDefault="00D83ECF" w:rsidP="00E72513">
            <w:pPr>
              <w:pStyle w:val="AmTrustBlack"/>
              <w:numPr>
                <w:ilvl w:val="0"/>
                <w:numId w:val="21"/>
              </w:numPr>
              <w:ind w:left="0"/>
              <w:rPr>
                <w:rFonts w:cs="Arial"/>
                <w:color w:val="auto"/>
                <w:sz w:val="20"/>
                <w:szCs w:val="20"/>
                <w:lang w:eastAsia="en-GB"/>
              </w:rPr>
            </w:pPr>
            <w:r>
              <w:rPr>
                <w:rFonts w:cs="Arial"/>
                <w:color w:val="auto"/>
                <w:sz w:val="20"/>
                <w:szCs w:val="20"/>
                <w:lang w:eastAsia="en-GB"/>
              </w:rPr>
              <w:t xml:space="preserve">None </w:t>
            </w:r>
          </w:p>
          <w:p w14:paraId="67721ACC" w14:textId="77777777" w:rsidR="00D83ECF" w:rsidRPr="00D83ECF" w:rsidRDefault="00D83ECF" w:rsidP="00E72513">
            <w:pPr>
              <w:pStyle w:val="AmTrustBlack"/>
              <w:numPr>
                <w:ilvl w:val="0"/>
                <w:numId w:val="21"/>
              </w:numPr>
              <w:ind w:left="0"/>
              <w:rPr>
                <w:rFonts w:cs="Arial"/>
                <w:color w:val="auto"/>
                <w:sz w:val="20"/>
                <w:szCs w:val="20"/>
                <w:lang w:eastAsia="en-GB"/>
              </w:rPr>
            </w:pPr>
          </w:p>
          <w:p w14:paraId="693596A8" w14:textId="77777777" w:rsidR="009D1DE2" w:rsidRPr="00B672B6" w:rsidRDefault="009D1DE2" w:rsidP="002C333F">
            <w:pPr>
              <w:pStyle w:val="AmTrustBlack"/>
              <w:rPr>
                <w:rFonts w:cs="Arial"/>
                <w:color w:val="auto"/>
                <w:sz w:val="20"/>
                <w:szCs w:val="20"/>
                <w:lang w:eastAsia="en-GB"/>
              </w:rPr>
            </w:pPr>
            <w:r w:rsidRPr="00B672B6">
              <w:rPr>
                <w:rFonts w:cs="Arial"/>
                <w:color w:val="auto"/>
                <w:sz w:val="20"/>
                <w:szCs w:val="20"/>
                <w:u w:val="single"/>
                <w:lang w:eastAsia="en-GB"/>
              </w:rPr>
              <w:t>Member</w:t>
            </w:r>
          </w:p>
          <w:p w14:paraId="04DC81BE" w14:textId="6E789649" w:rsidR="00E36489" w:rsidRPr="00A20064" w:rsidRDefault="00D83ECF" w:rsidP="00A20064">
            <w:pPr>
              <w:pStyle w:val="AmTrustBlack"/>
              <w:numPr>
                <w:ilvl w:val="0"/>
                <w:numId w:val="20"/>
              </w:numPr>
              <w:ind w:left="0"/>
              <w:rPr>
                <w:rFonts w:cs="Arial"/>
                <w:color w:val="auto"/>
                <w:sz w:val="20"/>
                <w:szCs w:val="20"/>
                <w:lang w:eastAsia="en-GB"/>
              </w:rPr>
            </w:pPr>
            <w:r>
              <w:rPr>
                <w:rFonts w:cs="Arial"/>
                <w:color w:val="auto"/>
                <w:sz w:val="20"/>
                <w:szCs w:val="20"/>
                <w:lang w:eastAsia="en-GB"/>
              </w:rPr>
              <w:t xml:space="preserve">None </w:t>
            </w:r>
          </w:p>
        </w:tc>
      </w:tr>
      <w:tr w:rsidR="00E36489" w:rsidRPr="00BA084B" w14:paraId="7711CE72" w14:textId="77777777" w:rsidTr="009D1DE2">
        <w:trPr>
          <w:trHeight w:val="624"/>
        </w:trPr>
        <w:tc>
          <w:tcPr>
            <w:tcW w:w="495" w:type="dxa"/>
            <w:vAlign w:val="center"/>
          </w:tcPr>
          <w:p w14:paraId="629C5488" w14:textId="4886C0CD" w:rsidR="00E36489" w:rsidRDefault="00374FE2" w:rsidP="00E36489">
            <w:pPr>
              <w:pStyle w:val="AmTrustBlack"/>
              <w:rPr>
                <w:rFonts w:cs="Arial"/>
                <w:color w:val="auto"/>
                <w:sz w:val="20"/>
                <w:szCs w:val="20"/>
                <w:lang w:eastAsia="en-GB"/>
              </w:rPr>
            </w:pPr>
            <w:r>
              <w:rPr>
                <w:rFonts w:cs="Arial"/>
                <w:color w:val="auto"/>
                <w:sz w:val="20"/>
                <w:szCs w:val="20"/>
                <w:lang w:eastAsia="en-GB"/>
              </w:rPr>
              <w:t>7.</w:t>
            </w:r>
          </w:p>
        </w:tc>
        <w:tc>
          <w:tcPr>
            <w:tcW w:w="2614" w:type="dxa"/>
            <w:vAlign w:val="center"/>
          </w:tcPr>
          <w:p w14:paraId="620CDDFB" w14:textId="77777777"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w:t>
            </w:r>
          </w:p>
          <w:p w14:paraId="2263BF2C" w14:textId="22ACD2D5"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Reporting Line</w:t>
            </w:r>
          </w:p>
        </w:tc>
        <w:tc>
          <w:tcPr>
            <w:tcW w:w="6100" w:type="dxa"/>
            <w:vAlign w:val="center"/>
          </w:tcPr>
          <w:p w14:paraId="5B20F764"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Direct Line Manager</w:t>
            </w:r>
          </w:p>
          <w:p w14:paraId="1ABF9225" w14:textId="2946363D" w:rsidR="00E36489" w:rsidRPr="00E36489" w:rsidRDefault="00E36489" w:rsidP="00E36489">
            <w:pPr>
              <w:pStyle w:val="AmTrustBlack"/>
              <w:rPr>
                <w:rFonts w:cs="Arial"/>
                <w:color w:val="auto"/>
                <w:sz w:val="20"/>
                <w:szCs w:val="20"/>
                <w:lang w:eastAsia="en-GB"/>
              </w:rPr>
            </w:pPr>
          </w:p>
          <w:p w14:paraId="1A34DDAA" w14:textId="77777777" w:rsidR="00D83ECF" w:rsidRPr="00D83ECF" w:rsidRDefault="00D83ECF" w:rsidP="00D83ECF">
            <w:pPr>
              <w:spacing w:line="276" w:lineRule="auto"/>
              <w:rPr>
                <w:rFonts w:ascii="Arial" w:hAnsi="Arial" w:cs="Arial"/>
                <w:b/>
                <w:bCs/>
                <w:sz w:val="20"/>
                <w:szCs w:val="20"/>
                <w:lang w:val="en-GB"/>
              </w:rPr>
            </w:pPr>
            <w:r w:rsidRPr="00D83ECF">
              <w:rPr>
                <w:rFonts w:ascii="Arial" w:hAnsi="Arial" w:cs="Arial"/>
                <w:sz w:val="20"/>
                <w:szCs w:val="20"/>
              </w:rPr>
              <w:t>Senior ATE legal expenses underwriter,</w:t>
            </w:r>
            <w:r w:rsidRPr="00D83ECF">
              <w:rPr>
                <w:rFonts w:ascii="Arial" w:hAnsi="Arial" w:cs="Arial"/>
                <w:b/>
                <w:bCs/>
                <w:sz w:val="20"/>
                <w:szCs w:val="20"/>
              </w:rPr>
              <w:t xml:space="preserve"> </w:t>
            </w:r>
          </w:p>
          <w:p w14:paraId="42564E9D" w14:textId="77777777" w:rsidR="00E36489" w:rsidRPr="00D83ECF" w:rsidRDefault="00E36489" w:rsidP="00E36489">
            <w:pPr>
              <w:pStyle w:val="AmTrustBlack"/>
              <w:rPr>
                <w:rFonts w:cs="Arial"/>
                <w:color w:val="auto"/>
                <w:sz w:val="20"/>
                <w:szCs w:val="20"/>
                <w:lang w:val="en-GB" w:eastAsia="en-GB"/>
              </w:rPr>
            </w:pPr>
          </w:p>
          <w:p w14:paraId="67A9C5B0" w14:textId="5AA5BC13" w:rsidR="00E36489" w:rsidRPr="00B672B6" w:rsidRDefault="00E36489" w:rsidP="00A613F9">
            <w:pPr>
              <w:pStyle w:val="AmTrustBlack"/>
              <w:rPr>
                <w:rFonts w:cs="Arial"/>
                <w:sz w:val="20"/>
                <w:szCs w:val="20"/>
                <w:lang w:eastAsia="en-GB"/>
              </w:rPr>
            </w:pPr>
          </w:p>
        </w:tc>
      </w:tr>
      <w:tr w:rsidR="00E36489" w:rsidRPr="00BA084B" w14:paraId="3E6236C4" w14:textId="77777777" w:rsidTr="009D1DE2">
        <w:trPr>
          <w:trHeight w:val="624"/>
        </w:trPr>
        <w:tc>
          <w:tcPr>
            <w:tcW w:w="495" w:type="dxa"/>
            <w:vAlign w:val="center"/>
          </w:tcPr>
          <w:p w14:paraId="5C939391" w14:textId="1DFAA630" w:rsidR="00E36489" w:rsidRDefault="00374FE2" w:rsidP="00E36489">
            <w:pPr>
              <w:pStyle w:val="AmTrustBlack"/>
              <w:rPr>
                <w:rFonts w:cs="Arial"/>
                <w:color w:val="auto"/>
                <w:sz w:val="20"/>
                <w:szCs w:val="20"/>
                <w:lang w:eastAsia="en-GB"/>
              </w:rPr>
            </w:pPr>
            <w:r>
              <w:rPr>
                <w:rFonts w:cs="Arial"/>
                <w:color w:val="auto"/>
                <w:sz w:val="20"/>
                <w:szCs w:val="20"/>
                <w:lang w:eastAsia="en-GB"/>
              </w:rPr>
              <w:t>8.</w:t>
            </w:r>
          </w:p>
        </w:tc>
        <w:tc>
          <w:tcPr>
            <w:tcW w:w="2614" w:type="dxa"/>
            <w:vAlign w:val="center"/>
          </w:tcPr>
          <w:p w14:paraId="249118D0" w14:textId="12BC539A"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Reports </w:t>
            </w:r>
          </w:p>
        </w:tc>
        <w:tc>
          <w:tcPr>
            <w:tcW w:w="6100" w:type="dxa"/>
            <w:vAlign w:val="center"/>
          </w:tcPr>
          <w:p w14:paraId="5DDFE774" w14:textId="788F6BBF"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Direct Reports</w:t>
            </w:r>
          </w:p>
          <w:p w14:paraId="71BF22EE" w14:textId="5532BA3C" w:rsidR="00E36489" w:rsidRPr="00B672B6" w:rsidRDefault="00D83ECF" w:rsidP="00E36489">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None </w:t>
            </w:r>
          </w:p>
          <w:p w14:paraId="4CAC03D7" w14:textId="77777777" w:rsidR="00E36489" w:rsidRPr="00B672B6" w:rsidRDefault="00E36489" w:rsidP="00E36489">
            <w:pPr>
              <w:autoSpaceDE w:val="0"/>
              <w:autoSpaceDN w:val="0"/>
              <w:adjustRightInd w:val="0"/>
              <w:jc w:val="both"/>
              <w:rPr>
                <w:rFonts w:ascii="Arial" w:hAnsi="Arial" w:cs="Arial"/>
                <w:sz w:val="20"/>
                <w:szCs w:val="20"/>
                <w:lang w:eastAsia="en-GB"/>
              </w:rPr>
            </w:pPr>
          </w:p>
          <w:p w14:paraId="7E1C20D9" w14:textId="77777777"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Indirect (dotted) Reports</w:t>
            </w:r>
          </w:p>
          <w:p w14:paraId="6D71B60E" w14:textId="7714462B" w:rsidR="00E36489" w:rsidRPr="00B672B6" w:rsidRDefault="00D83ECF" w:rsidP="00E36489">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tc>
      </w:tr>
      <w:tr w:rsidR="00900E06" w:rsidRPr="00BA084B" w14:paraId="0032F66D" w14:textId="77777777" w:rsidTr="00A20064">
        <w:trPr>
          <w:trHeight w:val="414"/>
        </w:trPr>
        <w:tc>
          <w:tcPr>
            <w:tcW w:w="495" w:type="dxa"/>
            <w:vAlign w:val="center"/>
          </w:tcPr>
          <w:p w14:paraId="71B8FCA2" w14:textId="0DBA076B"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9.</w:t>
            </w:r>
          </w:p>
        </w:tc>
        <w:tc>
          <w:tcPr>
            <w:tcW w:w="2614" w:type="dxa"/>
            <w:vAlign w:val="center"/>
          </w:tcPr>
          <w:p w14:paraId="60C0CF28"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Key Stakeholders</w:t>
            </w:r>
          </w:p>
        </w:tc>
        <w:tc>
          <w:tcPr>
            <w:tcW w:w="6100" w:type="dxa"/>
            <w:vAlign w:val="center"/>
          </w:tcPr>
          <w:p w14:paraId="01375A76" w14:textId="77777777" w:rsidR="00900E06" w:rsidRDefault="00900E06" w:rsidP="00900E06">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 xml:space="preserve">Set out the details of the key stakeholders for the role </w:t>
            </w:r>
          </w:p>
          <w:p w14:paraId="2B44D6B4" w14:textId="77777777" w:rsidR="00D83ECF" w:rsidRDefault="00D83ECF" w:rsidP="00900E06">
            <w:pPr>
              <w:autoSpaceDE w:val="0"/>
              <w:autoSpaceDN w:val="0"/>
              <w:adjustRightInd w:val="0"/>
              <w:jc w:val="both"/>
              <w:rPr>
                <w:rFonts w:ascii="Arial" w:hAnsi="Arial" w:cs="Arial"/>
                <w:sz w:val="20"/>
                <w:szCs w:val="20"/>
                <w:lang w:eastAsia="en-GB"/>
              </w:rPr>
            </w:pPr>
          </w:p>
          <w:p w14:paraId="56C6E2F0" w14:textId="77777777" w:rsidR="00D83ECF" w:rsidRPr="00340539" w:rsidRDefault="00D83ECF" w:rsidP="00D83ECF">
            <w:pPr>
              <w:autoSpaceDE w:val="0"/>
              <w:autoSpaceDN w:val="0"/>
              <w:adjustRightInd w:val="0"/>
              <w:jc w:val="both"/>
              <w:rPr>
                <w:rFonts w:ascii="Arial" w:hAnsi="Arial" w:cs="Arial"/>
                <w:sz w:val="20"/>
                <w:szCs w:val="20"/>
                <w:lang w:eastAsia="en-GB"/>
              </w:rPr>
            </w:pPr>
            <w:r w:rsidRPr="00340539">
              <w:rPr>
                <w:rFonts w:ascii="Arial" w:hAnsi="Arial" w:cs="Arial"/>
                <w:sz w:val="20"/>
                <w:szCs w:val="20"/>
                <w:lang w:eastAsia="en-GB"/>
              </w:rPr>
              <w:t xml:space="preserve">Senior Management </w:t>
            </w:r>
          </w:p>
          <w:p w14:paraId="26FCE57C" w14:textId="77777777" w:rsidR="00D83ECF" w:rsidRPr="00340539" w:rsidRDefault="00D83ECF" w:rsidP="00D83ECF">
            <w:pPr>
              <w:autoSpaceDE w:val="0"/>
              <w:autoSpaceDN w:val="0"/>
              <w:adjustRightInd w:val="0"/>
              <w:jc w:val="both"/>
              <w:rPr>
                <w:rFonts w:ascii="Arial" w:hAnsi="Arial" w:cs="Arial"/>
                <w:sz w:val="20"/>
                <w:szCs w:val="20"/>
                <w:lang w:eastAsia="en-GB"/>
              </w:rPr>
            </w:pPr>
            <w:r w:rsidRPr="00340539">
              <w:rPr>
                <w:rFonts w:ascii="Arial" w:hAnsi="Arial" w:cs="Arial"/>
                <w:sz w:val="20"/>
                <w:szCs w:val="20"/>
                <w:lang w:eastAsia="en-GB"/>
              </w:rPr>
              <w:t xml:space="preserve">Underwriting Governance </w:t>
            </w:r>
          </w:p>
          <w:p w14:paraId="4EFC86C9" w14:textId="77777777" w:rsidR="00D83ECF" w:rsidRPr="00340539" w:rsidRDefault="00D83ECF" w:rsidP="00D83ECF">
            <w:pPr>
              <w:autoSpaceDE w:val="0"/>
              <w:autoSpaceDN w:val="0"/>
              <w:adjustRightInd w:val="0"/>
              <w:jc w:val="both"/>
              <w:rPr>
                <w:rFonts w:ascii="Arial" w:hAnsi="Arial" w:cs="Arial"/>
                <w:sz w:val="20"/>
                <w:szCs w:val="20"/>
                <w:lang w:eastAsia="en-GB"/>
              </w:rPr>
            </w:pPr>
            <w:r w:rsidRPr="00340539">
              <w:rPr>
                <w:rFonts w:ascii="Arial" w:hAnsi="Arial" w:cs="Arial"/>
                <w:sz w:val="20"/>
                <w:szCs w:val="20"/>
                <w:lang w:eastAsia="en-GB"/>
              </w:rPr>
              <w:t xml:space="preserve">Finance and Actuarial </w:t>
            </w:r>
          </w:p>
          <w:p w14:paraId="48CBA476" w14:textId="77777777" w:rsidR="00D83ECF" w:rsidRPr="00340539" w:rsidRDefault="00D83ECF" w:rsidP="00D83ECF">
            <w:pPr>
              <w:autoSpaceDE w:val="0"/>
              <w:autoSpaceDN w:val="0"/>
              <w:adjustRightInd w:val="0"/>
              <w:jc w:val="both"/>
              <w:rPr>
                <w:rFonts w:ascii="Arial" w:hAnsi="Arial" w:cs="Arial"/>
                <w:sz w:val="20"/>
                <w:szCs w:val="20"/>
                <w:lang w:eastAsia="en-GB"/>
              </w:rPr>
            </w:pPr>
            <w:r w:rsidRPr="00340539">
              <w:rPr>
                <w:rFonts w:ascii="Arial" w:hAnsi="Arial" w:cs="Arial"/>
                <w:sz w:val="20"/>
                <w:szCs w:val="20"/>
                <w:lang w:eastAsia="en-GB"/>
              </w:rPr>
              <w:t xml:space="preserve">Claims </w:t>
            </w:r>
          </w:p>
          <w:p w14:paraId="6D5B3F60" w14:textId="47711BBB" w:rsidR="00D83ECF" w:rsidRPr="00340539" w:rsidRDefault="00D83ECF" w:rsidP="00D83ECF">
            <w:pPr>
              <w:autoSpaceDE w:val="0"/>
              <w:autoSpaceDN w:val="0"/>
              <w:adjustRightInd w:val="0"/>
              <w:jc w:val="both"/>
              <w:rPr>
                <w:rFonts w:ascii="Arial" w:hAnsi="Arial" w:cs="Arial"/>
                <w:sz w:val="20"/>
                <w:szCs w:val="20"/>
                <w:lang w:eastAsia="en-GB"/>
              </w:rPr>
            </w:pPr>
            <w:r w:rsidRPr="00340539">
              <w:rPr>
                <w:rFonts w:ascii="Arial" w:hAnsi="Arial" w:cs="Arial"/>
                <w:sz w:val="20"/>
                <w:szCs w:val="20"/>
                <w:lang w:eastAsia="en-GB"/>
              </w:rPr>
              <w:t>Operations</w:t>
            </w:r>
          </w:p>
          <w:p w14:paraId="3DEDD542" w14:textId="023CF50D" w:rsidR="00D83ECF" w:rsidRDefault="00D83ECF" w:rsidP="00900E06">
            <w:pPr>
              <w:autoSpaceDE w:val="0"/>
              <w:autoSpaceDN w:val="0"/>
              <w:adjustRightInd w:val="0"/>
              <w:jc w:val="both"/>
              <w:rPr>
                <w:rFonts w:ascii="Arial" w:hAnsi="Arial" w:cs="Arial"/>
                <w:sz w:val="20"/>
                <w:szCs w:val="20"/>
                <w:lang w:eastAsia="en-GB"/>
              </w:rPr>
            </w:pPr>
          </w:p>
          <w:p w14:paraId="5FD8188E" w14:textId="77777777" w:rsidR="00D83ECF" w:rsidRPr="00B672B6" w:rsidRDefault="00D83ECF" w:rsidP="00900E06">
            <w:pPr>
              <w:autoSpaceDE w:val="0"/>
              <w:autoSpaceDN w:val="0"/>
              <w:adjustRightInd w:val="0"/>
              <w:jc w:val="both"/>
              <w:rPr>
                <w:rFonts w:ascii="Arial" w:hAnsi="Arial" w:cs="Arial"/>
                <w:sz w:val="20"/>
                <w:szCs w:val="20"/>
                <w:lang w:eastAsia="en-GB"/>
              </w:rPr>
            </w:pPr>
          </w:p>
        </w:tc>
      </w:tr>
      <w:tr w:rsidR="00A20064" w:rsidRPr="00BA084B" w14:paraId="7120F4D8" w14:textId="77777777" w:rsidTr="009D1DE2">
        <w:trPr>
          <w:trHeight w:val="624"/>
        </w:trPr>
        <w:tc>
          <w:tcPr>
            <w:tcW w:w="495" w:type="dxa"/>
            <w:vAlign w:val="center"/>
          </w:tcPr>
          <w:p w14:paraId="0109A23F" w14:textId="60DB3CE4" w:rsidR="00A20064" w:rsidRDefault="00A20064" w:rsidP="000E574F">
            <w:pPr>
              <w:pStyle w:val="AmTrustBlack"/>
              <w:rPr>
                <w:rFonts w:cs="Arial"/>
                <w:color w:val="auto"/>
                <w:sz w:val="20"/>
                <w:szCs w:val="20"/>
                <w:lang w:eastAsia="en-GB"/>
              </w:rPr>
            </w:pPr>
            <w:r>
              <w:rPr>
                <w:rFonts w:cs="Arial"/>
                <w:color w:val="auto"/>
                <w:sz w:val="20"/>
                <w:szCs w:val="20"/>
                <w:lang w:eastAsia="en-GB"/>
              </w:rPr>
              <w:t>10.</w:t>
            </w:r>
          </w:p>
        </w:tc>
        <w:tc>
          <w:tcPr>
            <w:tcW w:w="2614" w:type="dxa"/>
            <w:vAlign w:val="center"/>
          </w:tcPr>
          <w:p w14:paraId="69A204E1" w14:textId="6C2E3A9C" w:rsidR="00A20064" w:rsidRPr="00B672B6" w:rsidRDefault="00A20064" w:rsidP="00900E06">
            <w:pPr>
              <w:pStyle w:val="AmTrustBlack"/>
              <w:rPr>
                <w:rFonts w:cs="Arial"/>
                <w:color w:val="auto"/>
                <w:sz w:val="20"/>
                <w:szCs w:val="20"/>
                <w:lang w:eastAsia="en-GB"/>
              </w:rPr>
            </w:pPr>
            <w:r w:rsidRPr="00B672B6">
              <w:rPr>
                <w:rFonts w:cs="Arial"/>
                <w:color w:val="auto"/>
                <w:sz w:val="20"/>
                <w:szCs w:val="20"/>
                <w:lang w:eastAsia="en-GB"/>
              </w:rPr>
              <w:t>Applicable Conduct Rules</w:t>
            </w:r>
          </w:p>
        </w:tc>
        <w:tc>
          <w:tcPr>
            <w:tcW w:w="6100" w:type="dxa"/>
            <w:vAlign w:val="center"/>
          </w:tcPr>
          <w:p w14:paraId="28A2D247" w14:textId="77777777" w:rsidR="00A20064" w:rsidRPr="00B672B6" w:rsidRDefault="00A20064" w:rsidP="00A20064">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Individual Conduct Rules</w:t>
            </w:r>
          </w:p>
          <w:p w14:paraId="0969B4A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integrity.</w:t>
            </w:r>
          </w:p>
          <w:p w14:paraId="3745243E"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act with due skill, care and diligence.</w:t>
            </w:r>
          </w:p>
          <w:p w14:paraId="728C3EBB"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be open and cooperative with the FCA, the PRA and other regulators.</w:t>
            </w:r>
          </w:p>
          <w:p w14:paraId="094F6E78" w14:textId="77777777" w:rsidR="00A20064" w:rsidRPr="00B672B6"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pay due regard to the interests of customers and treat them fairly.</w:t>
            </w:r>
          </w:p>
          <w:p w14:paraId="474D9FAD" w14:textId="77777777" w:rsidR="00A20064" w:rsidRDefault="00A20064" w:rsidP="00A20064">
            <w:pPr>
              <w:pStyle w:val="ListParagraph"/>
              <w:numPr>
                <w:ilvl w:val="0"/>
                <w:numId w:val="25"/>
              </w:num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You must observe proper standards of market conduct.</w:t>
            </w:r>
          </w:p>
          <w:p w14:paraId="07A21C36" w14:textId="039F9E9F" w:rsidR="00A20064" w:rsidRPr="00A20064" w:rsidRDefault="00A20064" w:rsidP="00A20064">
            <w:pPr>
              <w:numPr>
                <w:ilvl w:val="0"/>
                <w:numId w:val="25"/>
              </w:numPr>
              <w:rPr>
                <w:rFonts w:ascii="Arial" w:hAnsi="Arial" w:cs="Arial"/>
                <w:sz w:val="20"/>
                <w:szCs w:val="20"/>
                <w:lang w:val="en-GB" w:eastAsia="en-GB"/>
              </w:rPr>
            </w:pPr>
            <w:r w:rsidRPr="00A429E5">
              <w:rPr>
                <w:rFonts w:ascii="Arial" w:hAnsi="Arial" w:cs="Arial"/>
                <w:sz w:val="20"/>
                <w:szCs w:val="20"/>
                <w:lang w:val="en-GB" w:eastAsia="en-GB"/>
              </w:rPr>
              <w:t>You must act to deliver good outcomes for retail customers</w:t>
            </w:r>
          </w:p>
        </w:tc>
      </w:tr>
      <w:tr w:rsidR="00D60D65" w:rsidRPr="00BA084B" w14:paraId="6459AA72" w14:textId="77777777" w:rsidTr="00A20064">
        <w:trPr>
          <w:trHeight w:val="501"/>
        </w:trPr>
        <w:tc>
          <w:tcPr>
            <w:tcW w:w="495" w:type="dxa"/>
            <w:vAlign w:val="center"/>
          </w:tcPr>
          <w:p w14:paraId="1D16CD97" w14:textId="0A53AA48" w:rsidR="00D60D65" w:rsidRPr="00BA084B" w:rsidRDefault="00D60D65" w:rsidP="00D60D65">
            <w:pPr>
              <w:pStyle w:val="AmTrustBlack"/>
              <w:rPr>
                <w:rFonts w:cs="Arial"/>
                <w:color w:val="auto"/>
                <w:sz w:val="20"/>
                <w:szCs w:val="20"/>
                <w:lang w:eastAsia="en-GB"/>
              </w:rPr>
            </w:pPr>
            <w:r>
              <w:rPr>
                <w:rFonts w:cs="Arial"/>
                <w:color w:val="auto"/>
                <w:sz w:val="20"/>
                <w:szCs w:val="20"/>
                <w:lang w:eastAsia="en-GB"/>
              </w:rPr>
              <w:lastRenderedPageBreak/>
              <w:t>1</w:t>
            </w:r>
            <w:r w:rsidR="00A20064">
              <w:rPr>
                <w:rFonts w:cs="Arial"/>
                <w:color w:val="auto"/>
                <w:sz w:val="20"/>
                <w:szCs w:val="20"/>
                <w:lang w:eastAsia="en-GB"/>
              </w:rPr>
              <w:t>1.</w:t>
            </w:r>
          </w:p>
        </w:tc>
        <w:tc>
          <w:tcPr>
            <w:tcW w:w="2614" w:type="dxa"/>
            <w:vAlign w:val="center"/>
          </w:tcPr>
          <w:p w14:paraId="41E6E1B9" w14:textId="77777777" w:rsidR="00A20064" w:rsidRDefault="00A20064" w:rsidP="00D60D65">
            <w:pPr>
              <w:pStyle w:val="AmTrustBlack"/>
              <w:rPr>
                <w:rFonts w:cs="Arial"/>
                <w:color w:val="auto"/>
                <w:sz w:val="20"/>
                <w:szCs w:val="20"/>
                <w:lang w:eastAsia="en-GB"/>
              </w:rPr>
            </w:pPr>
          </w:p>
          <w:p w14:paraId="339514BE" w14:textId="206E48AD" w:rsidR="00D60D65" w:rsidRDefault="00D60D65" w:rsidP="00A20064">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p w14:paraId="1500D266" w14:textId="77777777" w:rsidR="00D60D65" w:rsidRPr="00B672B6" w:rsidRDefault="00D60D65" w:rsidP="00D60D65">
            <w:pPr>
              <w:pStyle w:val="AmTrustBlack"/>
              <w:rPr>
                <w:rFonts w:cs="Arial"/>
                <w:color w:val="auto"/>
                <w:sz w:val="20"/>
                <w:szCs w:val="20"/>
                <w:lang w:eastAsia="en-GB"/>
              </w:rPr>
            </w:pPr>
          </w:p>
        </w:tc>
        <w:tc>
          <w:tcPr>
            <w:tcW w:w="6100" w:type="dxa"/>
            <w:vAlign w:val="center"/>
          </w:tcPr>
          <w:p w14:paraId="5B9453A4" w14:textId="2725B45F" w:rsidR="00D60D65" w:rsidRPr="00B672B6" w:rsidRDefault="00D83ECF" w:rsidP="00D60D65">
            <w:pPr>
              <w:autoSpaceDE w:val="0"/>
              <w:autoSpaceDN w:val="0"/>
              <w:adjustRightInd w:val="0"/>
              <w:jc w:val="both"/>
              <w:rPr>
                <w:rFonts w:ascii="Arial" w:hAnsi="Arial" w:cs="Arial"/>
                <w:sz w:val="20"/>
                <w:szCs w:val="20"/>
                <w:lang w:eastAsia="en-GB"/>
              </w:rPr>
            </w:pPr>
            <w:r>
              <w:rPr>
                <w:rFonts w:ascii="Arial" w:hAnsi="Arial" w:cs="Arial"/>
                <w:sz w:val="22"/>
                <w:szCs w:val="22"/>
                <w:lang w:eastAsia="en-GB"/>
              </w:rPr>
              <w:t xml:space="preserve">This was reviewed and agreed by Simon Warr on </w:t>
            </w:r>
            <w:r w:rsidR="00A613F9">
              <w:rPr>
                <w:rFonts w:ascii="Arial" w:hAnsi="Arial" w:cs="Arial"/>
                <w:sz w:val="22"/>
                <w:szCs w:val="22"/>
                <w:lang w:eastAsia="en-GB"/>
              </w:rPr>
              <w:t xml:space="preserve">21 </w:t>
            </w:r>
            <w:r w:rsidRPr="00A613F9">
              <w:rPr>
                <w:rFonts w:ascii="Arial" w:hAnsi="Arial" w:cs="Arial"/>
                <w:sz w:val="20"/>
                <w:szCs w:val="20"/>
                <w:lang w:eastAsia="en-GB"/>
              </w:rPr>
              <w:t>October 2025</w:t>
            </w:r>
            <w:r w:rsidR="00562808">
              <w:rPr>
                <w:rFonts w:ascii="Arial" w:hAnsi="Arial" w:cs="Arial"/>
                <w:sz w:val="20"/>
                <w:szCs w:val="20"/>
                <w:lang w:eastAsia="en-GB"/>
              </w:rPr>
              <w:t xml:space="preserve"> (as revised 24.11.25)</w:t>
            </w:r>
          </w:p>
        </w:tc>
      </w:tr>
    </w:tbl>
    <w:p w14:paraId="5EECB885" w14:textId="77777777" w:rsidR="000950D2" w:rsidRDefault="000950D2" w:rsidP="00DF03FD">
      <w:pPr>
        <w:pStyle w:val="AmTrustBlack"/>
        <w:jc w:val="both"/>
        <w:rPr>
          <w:rFonts w:cs="Arial"/>
          <w:color w:val="auto"/>
          <w:sz w:val="20"/>
          <w:szCs w:val="20"/>
        </w:rPr>
      </w:pPr>
    </w:p>
    <w:p w14:paraId="3A6FAFBE" w14:textId="77777777" w:rsidR="00BA084B" w:rsidRDefault="00BA084B" w:rsidP="00DF03FD">
      <w:pPr>
        <w:pStyle w:val="AmTrustBlack"/>
        <w:jc w:val="both"/>
        <w:rPr>
          <w:rFonts w:cs="Arial"/>
          <w:color w:val="auto"/>
          <w:sz w:val="20"/>
          <w:szCs w:val="20"/>
        </w:rPr>
      </w:pPr>
    </w:p>
    <w:p w14:paraId="4CA1C85B" w14:textId="77777777" w:rsidR="00374FE2" w:rsidRDefault="00374FE2" w:rsidP="00DF03FD">
      <w:pPr>
        <w:pStyle w:val="AmTrustMainHeader"/>
        <w:jc w:val="both"/>
        <w:rPr>
          <w:rFonts w:cs="Arial"/>
          <w:b/>
          <w:color w:val="1F497D" w:themeColor="text2"/>
          <w:sz w:val="20"/>
          <w:szCs w:val="20"/>
        </w:rPr>
      </w:pPr>
    </w:p>
    <w:p w14:paraId="69B5D54D" w14:textId="5728A07D" w:rsidR="00EF6AEF" w:rsidRPr="00BA084B" w:rsidRDefault="001C2690" w:rsidP="00DF03FD">
      <w:pPr>
        <w:pStyle w:val="AmTrustMainHeader"/>
        <w:jc w:val="both"/>
        <w:rPr>
          <w:rFonts w:cs="Arial"/>
          <w:b/>
          <w:color w:val="1F497D" w:themeColor="text2"/>
          <w:sz w:val="20"/>
          <w:szCs w:val="20"/>
        </w:rPr>
      </w:pPr>
      <w:r w:rsidRPr="00BA084B">
        <w:rPr>
          <w:rFonts w:cs="Arial"/>
          <w:b/>
          <w:color w:val="1F497D" w:themeColor="text2"/>
          <w:sz w:val="20"/>
          <w:szCs w:val="20"/>
        </w:rPr>
        <w:t>Position Overview</w:t>
      </w:r>
    </w:p>
    <w:p w14:paraId="7FC4DD89" w14:textId="77777777" w:rsidR="00DF03FD" w:rsidRPr="00BA084B" w:rsidRDefault="00DF03FD" w:rsidP="00DF03FD">
      <w:pPr>
        <w:spacing w:after="80"/>
        <w:jc w:val="both"/>
        <w:rPr>
          <w:rFonts w:ascii="Arial" w:hAnsi="Arial" w:cs="Arial"/>
          <w:sz w:val="20"/>
          <w:szCs w:val="20"/>
        </w:rPr>
      </w:pPr>
    </w:p>
    <w:p w14:paraId="252017D0" w14:textId="41D09E7B" w:rsidR="00D83ECF" w:rsidRDefault="00D83ECF" w:rsidP="00D83ECF">
      <w:pPr>
        <w:spacing w:after="60"/>
        <w:jc w:val="both"/>
        <w:rPr>
          <w:rFonts w:ascii="Arial" w:hAnsi="Arial" w:cs="Arial"/>
          <w:sz w:val="22"/>
          <w:lang w:eastAsia="en-GB"/>
        </w:rPr>
      </w:pPr>
      <w:r w:rsidRPr="00C43842">
        <w:rPr>
          <w:rFonts w:ascii="Arial" w:hAnsi="Arial" w:cs="Arial"/>
          <w:sz w:val="22"/>
          <w:lang w:eastAsia="en-GB"/>
        </w:rPr>
        <w:t xml:space="preserve">To Underwrite the AmTrust LEI portfolio </w:t>
      </w:r>
      <w:r w:rsidR="00607D48" w:rsidRPr="00C43842">
        <w:rPr>
          <w:rFonts w:ascii="Arial" w:hAnsi="Arial" w:cs="Arial"/>
          <w:sz w:val="22"/>
          <w:lang w:eastAsia="en-GB"/>
        </w:rPr>
        <w:t xml:space="preserve">(primarily after the event legal expenses insurance with  some capital protection insurance) </w:t>
      </w:r>
      <w:r w:rsidRPr="00C43842">
        <w:rPr>
          <w:rFonts w:ascii="Arial" w:hAnsi="Arial" w:cs="Arial"/>
          <w:sz w:val="22"/>
          <w:lang w:eastAsia="en-GB"/>
        </w:rPr>
        <w:t xml:space="preserve">as directed </w:t>
      </w:r>
      <w:r>
        <w:rPr>
          <w:rFonts w:ascii="Arial" w:hAnsi="Arial" w:cs="Arial"/>
          <w:sz w:val="22"/>
          <w:lang w:eastAsia="en-GB"/>
        </w:rPr>
        <w:t xml:space="preserve">by </w:t>
      </w:r>
      <w:r w:rsidRPr="00A613F9">
        <w:rPr>
          <w:rFonts w:ascii="Arial" w:hAnsi="Arial" w:cs="Arial"/>
          <w:sz w:val="22"/>
          <w:lang w:eastAsia="en-GB"/>
        </w:rPr>
        <w:t>the</w:t>
      </w:r>
      <w:r w:rsidRPr="00A613F9">
        <w:rPr>
          <w:rFonts w:ascii="Arial" w:hAnsi="Arial" w:cs="Arial"/>
          <w:sz w:val="20"/>
          <w:szCs w:val="20"/>
        </w:rPr>
        <w:t xml:space="preserve"> </w:t>
      </w:r>
      <w:r w:rsidRPr="00A613F9">
        <w:rPr>
          <w:rFonts w:ascii="Arial" w:hAnsi="Arial" w:cs="Arial"/>
          <w:sz w:val="22"/>
          <w:szCs w:val="22"/>
        </w:rPr>
        <w:t>Senior ATE legal expenses underwriter</w:t>
      </w:r>
      <w:r w:rsidRPr="00A613F9">
        <w:rPr>
          <w:rFonts w:ascii="Arial" w:hAnsi="Arial" w:cs="Arial"/>
          <w:sz w:val="22"/>
          <w:szCs w:val="22"/>
          <w:lang w:eastAsia="en-GB"/>
        </w:rPr>
        <w:t xml:space="preserve"> and the </w:t>
      </w:r>
      <w:r w:rsidRPr="00A613F9">
        <w:rPr>
          <w:rFonts w:ascii="Arial" w:hAnsi="Arial" w:cs="Arial"/>
          <w:sz w:val="22"/>
          <w:lang w:eastAsia="en-GB"/>
        </w:rPr>
        <w:t>Lead Underwriter to meet the requirements of the business Plan, strategic targets for premium income, profitability and return on capital as set out by the</w:t>
      </w:r>
      <w:r>
        <w:rPr>
          <w:rFonts w:ascii="Arial" w:hAnsi="Arial" w:cs="Arial"/>
          <w:sz w:val="22"/>
          <w:lang w:eastAsia="en-GB"/>
        </w:rPr>
        <w:t xml:space="preserve"> Board.</w:t>
      </w:r>
    </w:p>
    <w:p w14:paraId="24C1CA05" w14:textId="77777777" w:rsidR="00D83ECF" w:rsidRDefault="00D83ECF" w:rsidP="00CE694C">
      <w:pPr>
        <w:spacing w:after="80"/>
        <w:jc w:val="both"/>
        <w:rPr>
          <w:rFonts w:ascii="Arial" w:hAnsi="Arial" w:cs="Arial"/>
          <w:sz w:val="20"/>
          <w:szCs w:val="20"/>
        </w:rPr>
      </w:pPr>
    </w:p>
    <w:p w14:paraId="367F963E" w14:textId="77777777" w:rsidR="00374FE2" w:rsidRDefault="00374FE2" w:rsidP="00DF03FD">
      <w:pPr>
        <w:pStyle w:val="AmTrustMainHeader"/>
        <w:jc w:val="both"/>
        <w:rPr>
          <w:rFonts w:cs="Arial"/>
          <w:b/>
          <w:color w:val="1F497D" w:themeColor="text2"/>
          <w:sz w:val="20"/>
          <w:szCs w:val="20"/>
        </w:rPr>
      </w:pPr>
    </w:p>
    <w:p w14:paraId="4696F693" w14:textId="759028F1" w:rsidR="001C2690" w:rsidRPr="00BA084B" w:rsidRDefault="0019731B" w:rsidP="00DF03FD">
      <w:pPr>
        <w:pStyle w:val="AmTrustMainHeader"/>
        <w:jc w:val="both"/>
        <w:rPr>
          <w:rFonts w:cs="Arial"/>
          <w:b/>
          <w:color w:val="1F497D" w:themeColor="text2"/>
          <w:sz w:val="20"/>
          <w:szCs w:val="20"/>
        </w:rPr>
      </w:pPr>
      <w:r w:rsidRPr="00BA084B">
        <w:rPr>
          <w:rFonts w:cs="Arial"/>
          <w:b/>
          <w:color w:val="1F497D" w:themeColor="text2"/>
          <w:sz w:val="20"/>
          <w:szCs w:val="20"/>
        </w:rPr>
        <w:t>Essential Job Functions</w:t>
      </w:r>
    </w:p>
    <w:p w14:paraId="287E4C6E" w14:textId="77777777" w:rsidR="007C0927" w:rsidRPr="00BA084B" w:rsidRDefault="007C0927" w:rsidP="00DF03FD">
      <w:pPr>
        <w:pStyle w:val="AmTrustMainHeader"/>
        <w:jc w:val="both"/>
        <w:rPr>
          <w:rFonts w:cs="Arial"/>
          <w:b/>
          <w:color w:val="auto"/>
          <w:sz w:val="20"/>
          <w:szCs w:val="20"/>
        </w:rPr>
      </w:pPr>
    </w:p>
    <w:p w14:paraId="46A46978" w14:textId="41A6D22D" w:rsidR="00D83ECF" w:rsidRDefault="00D83ECF" w:rsidP="00D83ECF">
      <w:pPr>
        <w:pStyle w:val="AmTrustBlack"/>
        <w:numPr>
          <w:ilvl w:val="0"/>
          <w:numId w:val="29"/>
        </w:numPr>
        <w:ind w:left="426"/>
        <w:jc w:val="both"/>
        <w:rPr>
          <w:rFonts w:cs="Arial"/>
          <w:color w:val="auto"/>
          <w:sz w:val="22"/>
          <w:lang w:eastAsia="en-GB"/>
        </w:rPr>
      </w:pPr>
      <w:r>
        <w:rPr>
          <w:rFonts w:cs="Arial"/>
          <w:color w:val="auto"/>
          <w:sz w:val="22"/>
          <w:lang w:eastAsia="en-GB"/>
        </w:rPr>
        <w:t xml:space="preserve">Underwrite profitable LEI business, within framework of underwriting guidelines, as directed by </w:t>
      </w:r>
      <w:r w:rsidRPr="00A613F9">
        <w:rPr>
          <w:rFonts w:cs="Arial"/>
          <w:color w:val="auto"/>
          <w:sz w:val="22"/>
          <w:szCs w:val="22"/>
        </w:rPr>
        <w:t xml:space="preserve">Senior ATE legal expenses </w:t>
      </w:r>
      <w:r w:rsidRPr="00A613F9">
        <w:rPr>
          <w:rFonts w:cs="Arial"/>
          <w:sz w:val="22"/>
          <w:szCs w:val="22"/>
        </w:rPr>
        <w:t>underwriter</w:t>
      </w:r>
      <w:r w:rsidRPr="00A613F9">
        <w:rPr>
          <w:rFonts w:cs="Arial"/>
          <w:sz w:val="22"/>
          <w:szCs w:val="22"/>
          <w:lang w:eastAsia="en-GB"/>
        </w:rPr>
        <w:t xml:space="preserve"> and </w:t>
      </w:r>
      <w:r>
        <w:rPr>
          <w:rFonts w:cs="Arial"/>
          <w:color w:val="auto"/>
          <w:sz w:val="22"/>
          <w:lang w:eastAsia="en-GB"/>
        </w:rPr>
        <w:t xml:space="preserve">the Lead Underwriter and in accordance with the Business Plan within the terms of the underwriting authority.  </w:t>
      </w:r>
    </w:p>
    <w:p w14:paraId="2C6EF68A" w14:textId="6EB63770" w:rsidR="00D83ECF" w:rsidRDefault="00D83ECF" w:rsidP="00D83ECF">
      <w:pPr>
        <w:pStyle w:val="AmTrustBlack"/>
        <w:numPr>
          <w:ilvl w:val="0"/>
          <w:numId w:val="29"/>
        </w:numPr>
        <w:ind w:left="426"/>
        <w:jc w:val="both"/>
        <w:rPr>
          <w:rFonts w:cs="Arial"/>
          <w:color w:val="auto"/>
          <w:sz w:val="22"/>
          <w:lang w:eastAsia="en-GB"/>
        </w:rPr>
      </w:pPr>
      <w:r>
        <w:rPr>
          <w:rFonts w:cs="Arial"/>
          <w:color w:val="auto"/>
          <w:sz w:val="22"/>
          <w:lang w:eastAsia="en-GB"/>
        </w:rPr>
        <w:t xml:space="preserve">Develop and maintain good working relationships with brokers, clients, and TPA’s to establish AmTrust as a preferred market for LEI products. </w:t>
      </w:r>
    </w:p>
    <w:p w14:paraId="37F4CCB9" w14:textId="77777777" w:rsidR="00D83ECF" w:rsidRDefault="00D83ECF" w:rsidP="00D83ECF">
      <w:pPr>
        <w:pStyle w:val="AmTrustBlack"/>
        <w:numPr>
          <w:ilvl w:val="0"/>
          <w:numId w:val="29"/>
        </w:numPr>
        <w:ind w:left="426"/>
        <w:jc w:val="both"/>
        <w:rPr>
          <w:rFonts w:cs="Arial"/>
          <w:color w:val="auto"/>
          <w:sz w:val="22"/>
          <w:lang w:eastAsia="en-GB"/>
        </w:rPr>
      </w:pPr>
      <w:r>
        <w:rPr>
          <w:rFonts w:cs="Arial"/>
          <w:color w:val="auto"/>
          <w:sz w:val="22"/>
          <w:lang w:eastAsia="en-GB"/>
        </w:rPr>
        <w:t>To research and develop new business opportunities.</w:t>
      </w:r>
    </w:p>
    <w:p w14:paraId="455E9EB6" w14:textId="77777777" w:rsidR="00D83ECF" w:rsidRDefault="00D83ECF" w:rsidP="00D83ECF">
      <w:pPr>
        <w:pStyle w:val="AmTrustBlack"/>
        <w:numPr>
          <w:ilvl w:val="0"/>
          <w:numId w:val="29"/>
        </w:numPr>
        <w:ind w:left="426"/>
        <w:jc w:val="both"/>
        <w:rPr>
          <w:rFonts w:cs="Arial"/>
          <w:color w:val="auto"/>
          <w:sz w:val="22"/>
          <w:lang w:eastAsia="en-GB"/>
        </w:rPr>
      </w:pPr>
      <w:r>
        <w:rPr>
          <w:rFonts w:cs="Arial"/>
          <w:color w:val="auto"/>
          <w:sz w:val="22"/>
          <w:lang w:eastAsia="en-GB"/>
        </w:rPr>
        <w:t>To ensure that detailed performance assumptions are made where appropriate and that performance metrics are monitored for all key accounts. Ensure relevant remedial actions are identified to ensure long term portfolio profitability </w:t>
      </w:r>
    </w:p>
    <w:p w14:paraId="59FB8D39" w14:textId="77777777" w:rsidR="00D83ECF" w:rsidRDefault="00D83ECF" w:rsidP="00D83ECF">
      <w:pPr>
        <w:pStyle w:val="AmTrustBlack"/>
        <w:numPr>
          <w:ilvl w:val="0"/>
          <w:numId w:val="30"/>
        </w:numPr>
        <w:jc w:val="both"/>
        <w:rPr>
          <w:rFonts w:cs="Arial"/>
          <w:sz w:val="22"/>
          <w:lang w:eastAsia="en-GB"/>
        </w:rPr>
      </w:pPr>
      <w:r>
        <w:rPr>
          <w:rFonts w:cs="Arial"/>
          <w:color w:val="auto"/>
          <w:sz w:val="22"/>
          <w:lang w:eastAsia="en-GB"/>
        </w:rPr>
        <w:t>Evaluate risks by considering appropriate contract structure, relevant costs and capital exposure</w:t>
      </w:r>
    </w:p>
    <w:p w14:paraId="31AFBAA2" w14:textId="77777777" w:rsidR="00D83ECF" w:rsidRDefault="00D83ECF" w:rsidP="00D83ECF">
      <w:pPr>
        <w:pStyle w:val="AmTrustBlack"/>
        <w:numPr>
          <w:ilvl w:val="0"/>
          <w:numId w:val="30"/>
        </w:numPr>
        <w:jc w:val="both"/>
        <w:rPr>
          <w:rFonts w:cs="Arial"/>
          <w:sz w:val="22"/>
          <w:lang w:eastAsia="en-GB"/>
        </w:rPr>
      </w:pPr>
      <w:r>
        <w:rPr>
          <w:rFonts w:cs="Arial"/>
          <w:color w:val="auto"/>
          <w:sz w:val="22"/>
          <w:lang w:eastAsia="en-GB"/>
        </w:rPr>
        <w:t xml:space="preserve">To ensure that the business written is controlled effectively taking appropriate correction action on poorly performance business to meet targets and ensure that business written complies with all relevant regulatory standards including those laid down by the PRA and FCA. </w:t>
      </w:r>
    </w:p>
    <w:p w14:paraId="55EBEDCB" w14:textId="77777777" w:rsidR="00D83ECF" w:rsidRDefault="00D83ECF" w:rsidP="00D83ECF">
      <w:pPr>
        <w:pStyle w:val="ListParagraph"/>
        <w:numPr>
          <w:ilvl w:val="0"/>
          <w:numId w:val="30"/>
        </w:numPr>
        <w:jc w:val="both"/>
        <w:rPr>
          <w:rFonts w:ascii="Arial" w:hAnsi="Arial" w:cs="Arial"/>
          <w:sz w:val="22"/>
          <w:lang w:eastAsia="en-GB"/>
        </w:rPr>
      </w:pPr>
      <w:r>
        <w:rPr>
          <w:rFonts w:ascii="Arial" w:hAnsi="Arial" w:cs="Arial"/>
          <w:sz w:val="22"/>
          <w:lang w:eastAsia="en-GB"/>
        </w:rPr>
        <w:t xml:space="preserve">To ensure that all business written complies with AmTrust internal policies, procedures and controls and that these are understood and adhered to. </w:t>
      </w:r>
    </w:p>
    <w:p w14:paraId="570E74B0" w14:textId="77777777" w:rsidR="00D83ECF" w:rsidRDefault="00D83ECF" w:rsidP="00D83ECF">
      <w:pPr>
        <w:pStyle w:val="ListParagraph"/>
        <w:numPr>
          <w:ilvl w:val="0"/>
          <w:numId w:val="30"/>
        </w:numPr>
        <w:jc w:val="both"/>
        <w:rPr>
          <w:rFonts w:ascii="Arial" w:hAnsi="Arial" w:cs="Arial"/>
          <w:sz w:val="22"/>
          <w:lang w:eastAsia="en-GB"/>
        </w:rPr>
      </w:pPr>
      <w:r>
        <w:rPr>
          <w:rFonts w:ascii="Arial" w:hAnsi="Arial" w:cs="Arial"/>
          <w:sz w:val="22"/>
          <w:lang w:eastAsia="en-GB"/>
        </w:rPr>
        <w:t>To ensure that all business is only accepted through parties approved by AmTrust in accordance with internal procedures and that delegation of underwriting authority has prior approval from the Chief Underwriting Officer.</w:t>
      </w:r>
    </w:p>
    <w:p w14:paraId="609F6C03" w14:textId="77777777" w:rsidR="00D83ECF" w:rsidRDefault="00D83ECF" w:rsidP="00D83ECF">
      <w:pPr>
        <w:pStyle w:val="ListParagraph"/>
        <w:numPr>
          <w:ilvl w:val="0"/>
          <w:numId w:val="30"/>
        </w:numPr>
        <w:jc w:val="both"/>
        <w:rPr>
          <w:rFonts w:ascii="Arial" w:hAnsi="Arial" w:cs="Arial"/>
          <w:sz w:val="22"/>
          <w:lang w:eastAsia="en-GB"/>
        </w:rPr>
      </w:pPr>
      <w:r>
        <w:rPr>
          <w:rFonts w:ascii="Arial" w:hAnsi="Arial" w:cs="Arial"/>
          <w:sz w:val="22"/>
          <w:lang w:eastAsia="en-GB"/>
        </w:rPr>
        <w:t>Keep up to date with relevant product and regional market developments in order to identify, assess and make recommendations about underwriting opportunities and/or threats presented by new and/or emerging risks and opportunities. </w:t>
      </w:r>
    </w:p>
    <w:p w14:paraId="5EFF9464" w14:textId="77777777" w:rsidR="00D83ECF" w:rsidRDefault="00D83ECF" w:rsidP="00D83ECF">
      <w:pPr>
        <w:pStyle w:val="ListParagraph"/>
        <w:numPr>
          <w:ilvl w:val="0"/>
          <w:numId w:val="30"/>
        </w:numPr>
        <w:jc w:val="both"/>
        <w:rPr>
          <w:rFonts w:ascii="Arial" w:hAnsi="Arial" w:cs="Arial"/>
          <w:sz w:val="22"/>
          <w:lang w:eastAsia="en-GB"/>
        </w:rPr>
      </w:pPr>
      <w:r>
        <w:rPr>
          <w:rFonts w:ascii="Arial" w:hAnsi="Arial" w:cs="Arial"/>
          <w:sz w:val="22"/>
          <w:lang w:eastAsia="en-GB"/>
        </w:rPr>
        <w:t xml:space="preserve">Ensure that complete and accurate underwriting records are maintained. </w:t>
      </w:r>
    </w:p>
    <w:p w14:paraId="0DECB059" w14:textId="77777777" w:rsidR="00D83ECF" w:rsidRDefault="00D83ECF" w:rsidP="00D83ECF">
      <w:pPr>
        <w:pStyle w:val="ListParagraph"/>
        <w:numPr>
          <w:ilvl w:val="0"/>
          <w:numId w:val="30"/>
        </w:numPr>
        <w:jc w:val="both"/>
        <w:rPr>
          <w:rFonts w:ascii="Arial" w:hAnsi="Arial" w:cs="Arial"/>
          <w:sz w:val="22"/>
          <w:lang w:eastAsia="en-GB"/>
        </w:rPr>
      </w:pPr>
      <w:r>
        <w:rPr>
          <w:rFonts w:ascii="Arial" w:hAnsi="Arial" w:cs="Arial"/>
          <w:sz w:val="22"/>
          <w:lang w:eastAsia="en-GB"/>
        </w:rPr>
        <w:t>To engage and liaise with Case Management, Legal and Claims department to ensure proper monitoring of risks underwritten</w:t>
      </w:r>
    </w:p>
    <w:p w14:paraId="0E9E0B80" w14:textId="77777777" w:rsidR="00A03FE5" w:rsidRPr="00D83ECF" w:rsidRDefault="00A970D6" w:rsidP="00D83ECF">
      <w:pPr>
        <w:pStyle w:val="ListParagraph"/>
        <w:numPr>
          <w:ilvl w:val="0"/>
          <w:numId w:val="24"/>
        </w:numPr>
        <w:autoSpaceDE w:val="0"/>
        <w:autoSpaceDN w:val="0"/>
        <w:adjustRightInd w:val="0"/>
        <w:ind w:left="426" w:hanging="357"/>
        <w:jc w:val="both"/>
        <w:rPr>
          <w:rFonts w:ascii="Arial" w:hAnsi="Arial" w:cs="Arial"/>
          <w:sz w:val="22"/>
          <w:szCs w:val="22"/>
        </w:rPr>
      </w:pPr>
      <w:r w:rsidRPr="00D83ECF">
        <w:rPr>
          <w:rFonts w:ascii="Arial" w:hAnsi="Arial" w:cs="Arial"/>
          <w:sz w:val="22"/>
          <w:szCs w:val="22"/>
          <w:lang w:val="en-GB" w:eastAsia="en-GB"/>
        </w:rPr>
        <w:t xml:space="preserve">Comply with AmTrust procedures, policies and regulations </w:t>
      </w:r>
      <w:r w:rsidR="00A03FE5" w:rsidRPr="00D83ECF">
        <w:rPr>
          <w:rFonts w:ascii="Arial" w:hAnsi="Arial" w:cs="Arial"/>
          <w:sz w:val="22"/>
          <w:szCs w:val="22"/>
          <w:lang w:val="en-GB" w:eastAsia="en-GB"/>
        </w:rPr>
        <w:t xml:space="preserve">as </w:t>
      </w:r>
      <w:r w:rsidRPr="00D83ECF">
        <w:rPr>
          <w:rFonts w:ascii="Arial" w:hAnsi="Arial" w:cs="Arial"/>
          <w:sz w:val="22"/>
          <w:szCs w:val="22"/>
          <w:lang w:val="en-GB" w:eastAsia="en-GB"/>
        </w:rPr>
        <w:t xml:space="preserve">relevant to </w:t>
      </w:r>
      <w:r w:rsidR="00A03FE5" w:rsidRPr="00D83ECF">
        <w:rPr>
          <w:rFonts w:ascii="Arial" w:hAnsi="Arial" w:cs="Arial"/>
          <w:sz w:val="22"/>
          <w:szCs w:val="22"/>
          <w:lang w:val="en-GB" w:eastAsia="en-GB"/>
        </w:rPr>
        <w:t>remit</w:t>
      </w:r>
      <w:r w:rsidRPr="00D83ECF">
        <w:rPr>
          <w:rFonts w:ascii="Arial" w:hAnsi="Arial" w:cs="Arial"/>
          <w:sz w:val="22"/>
          <w:szCs w:val="22"/>
          <w:lang w:val="en-GB" w:eastAsia="en-GB"/>
        </w:rPr>
        <w:t xml:space="preserve">. </w:t>
      </w:r>
    </w:p>
    <w:p w14:paraId="602BF342" w14:textId="5F79BEDE" w:rsidR="00A970D6" w:rsidRPr="00D83ECF" w:rsidRDefault="00A970D6" w:rsidP="00D83ECF">
      <w:pPr>
        <w:pStyle w:val="ListParagraph"/>
        <w:numPr>
          <w:ilvl w:val="0"/>
          <w:numId w:val="24"/>
        </w:numPr>
        <w:autoSpaceDE w:val="0"/>
        <w:autoSpaceDN w:val="0"/>
        <w:adjustRightInd w:val="0"/>
        <w:ind w:left="426" w:hanging="357"/>
        <w:jc w:val="both"/>
        <w:rPr>
          <w:rFonts w:ascii="Arial" w:hAnsi="Arial" w:cs="Arial"/>
          <w:sz w:val="22"/>
          <w:szCs w:val="22"/>
        </w:rPr>
      </w:pPr>
      <w:r w:rsidRPr="00D83ECF">
        <w:rPr>
          <w:rFonts w:ascii="Arial" w:hAnsi="Arial" w:cs="Arial"/>
          <w:sz w:val="22"/>
          <w:szCs w:val="22"/>
          <w:lang w:val="en-GB" w:eastAsia="en-GB"/>
        </w:rPr>
        <w:t xml:space="preserve">Ensure </w:t>
      </w:r>
      <w:r w:rsidR="006D2785" w:rsidRPr="00D83ECF">
        <w:rPr>
          <w:rFonts w:ascii="Arial" w:hAnsi="Arial" w:cs="Arial"/>
          <w:sz w:val="22"/>
          <w:szCs w:val="22"/>
          <w:lang w:val="en-GB" w:eastAsia="en-GB"/>
        </w:rPr>
        <w:t xml:space="preserve">you </w:t>
      </w:r>
      <w:r w:rsidRPr="00D83ECF">
        <w:rPr>
          <w:rFonts w:ascii="Arial" w:hAnsi="Arial" w:cs="Arial"/>
          <w:sz w:val="22"/>
          <w:szCs w:val="22"/>
          <w:lang w:val="en-GB" w:eastAsia="en-GB"/>
        </w:rPr>
        <w:t xml:space="preserve">complete all mandatory and job specific training requirements in line with </w:t>
      </w:r>
      <w:r w:rsidR="00A03FE5" w:rsidRPr="00D83ECF">
        <w:rPr>
          <w:rFonts w:ascii="Arial" w:hAnsi="Arial" w:cs="Arial"/>
          <w:sz w:val="22"/>
          <w:szCs w:val="22"/>
          <w:lang w:val="en-GB" w:eastAsia="en-GB"/>
        </w:rPr>
        <w:t xml:space="preserve">the </w:t>
      </w:r>
      <w:r w:rsidRPr="00D83ECF">
        <w:rPr>
          <w:rFonts w:ascii="Arial" w:hAnsi="Arial" w:cs="Arial"/>
          <w:sz w:val="22"/>
          <w:szCs w:val="22"/>
          <w:lang w:val="en-GB" w:eastAsia="en-GB"/>
        </w:rPr>
        <w:t xml:space="preserve">required time frames.  </w:t>
      </w:r>
    </w:p>
    <w:p w14:paraId="47F2FC52" w14:textId="77777777" w:rsidR="00D83ECF" w:rsidRPr="00D83ECF" w:rsidRDefault="006D2785" w:rsidP="00D83ECF">
      <w:pPr>
        <w:pStyle w:val="ListParagraph"/>
        <w:numPr>
          <w:ilvl w:val="0"/>
          <w:numId w:val="24"/>
        </w:numPr>
        <w:ind w:left="426" w:hanging="357"/>
        <w:jc w:val="both"/>
        <w:rPr>
          <w:rFonts w:ascii="Arial" w:hAnsi="Arial" w:cs="Arial"/>
          <w:sz w:val="22"/>
          <w:szCs w:val="22"/>
          <w:lang w:val="en-GB" w:eastAsia="en-GB"/>
        </w:rPr>
      </w:pPr>
      <w:r w:rsidRPr="00D83ECF">
        <w:rPr>
          <w:rFonts w:ascii="Arial" w:hAnsi="Arial" w:cs="Arial"/>
          <w:sz w:val="22"/>
          <w:szCs w:val="22"/>
          <w:lang w:val="en-GB" w:eastAsia="en-GB"/>
        </w:rPr>
        <w:t xml:space="preserve">Complete the required number of hours of Continuing Professional Development (CPD) as it pertains to your role and applicable qualifications and ensure this is logged in Workday. </w:t>
      </w:r>
    </w:p>
    <w:p w14:paraId="75629DB8" w14:textId="12650163" w:rsidR="00E36489" w:rsidRPr="00D83ECF" w:rsidRDefault="00E36489" w:rsidP="00D83ECF">
      <w:pPr>
        <w:pStyle w:val="ListParagraph"/>
        <w:numPr>
          <w:ilvl w:val="0"/>
          <w:numId w:val="24"/>
        </w:numPr>
        <w:ind w:left="426" w:hanging="357"/>
        <w:jc w:val="both"/>
        <w:rPr>
          <w:rFonts w:ascii="Arial" w:hAnsi="Arial" w:cs="Arial"/>
          <w:sz w:val="22"/>
          <w:szCs w:val="22"/>
          <w:lang w:val="en-GB" w:eastAsia="en-GB"/>
        </w:rPr>
      </w:pPr>
      <w:r w:rsidRPr="00D83ECF">
        <w:rPr>
          <w:rFonts w:ascii="Arial" w:hAnsi="Arial" w:cs="Arial"/>
          <w:sz w:val="22"/>
          <w:szCs w:val="22"/>
          <w:lang w:val="en-GB" w:eastAsia="en-GB"/>
        </w:rPr>
        <w:t xml:space="preserve">Fully participate in all applicable fitness and proprietary and Performance Review processes.  Promptly advise your line manager/HR as to any matter that may be relevant and/or impact your ability to perform in your role. </w:t>
      </w:r>
    </w:p>
    <w:p w14:paraId="2938D6D6" w14:textId="040C65E7" w:rsidR="000F4F50" w:rsidRPr="00D83ECF" w:rsidRDefault="000F4F50" w:rsidP="00D83ECF">
      <w:pPr>
        <w:pStyle w:val="ListParagraph"/>
        <w:numPr>
          <w:ilvl w:val="0"/>
          <w:numId w:val="24"/>
        </w:numPr>
        <w:autoSpaceDE w:val="0"/>
        <w:autoSpaceDN w:val="0"/>
        <w:adjustRightInd w:val="0"/>
        <w:ind w:left="426" w:hanging="357"/>
        <w:jc w:val="both"/>
        <w:rPr>
          <w:rFonts w:ascii="Arial" w:hAnsi="Arial" w:cs="Arial"/>
          <w:sz w:val="22"/>
          <w:szCs w:val="22"/>
        </w:rPr>
      </w:pPr>
      <w:r w:rsidRPr="00D83ECF">
        <w:rPr>
          <w:rFonts w:ascii="Arial" w:hAnsi="Arial" w:cs="Arial"/>
          <w:sz w:val="22"/>
          <w:szCs w:val="22"/>
        </w:rPr>
        <w:t>Other duties may be assigned in order to meet the on-going needs of the organisation</w:t>
      </w:r>
      <w:r w:rsidR="004851DB" w:rsidRPr="00D83ECF">
        <w:rPr>
          <w:rFonts w:ascii="Arial" w:hAnsi="Arial" w:cs="Arial"/>
          <w:sz w:val="22"/>
          <w:szCs w:val="22"/>
        </w:rPr>
        <w:t>.</w:t>
      </w:r>
    </w:p>
    <w:p w14:paraId="557D65B3" w14:textId="77777777" w:rsidR="004851DB" w:rsidRPr="00D83ECF" w:rsidRDefault="004851DB" w:rsidP="00A53F63">
      <w:pPr>
        <w:spacing w:after="200" w:line="276" w:lineRule="auto"/>
        <w:rPr>
          <w:rFonts w:ascii="Arial" w:hAnsi="Arial" w:cs="Arial"/>
          <w:b/>
          <w:color w:val="1F497D" w:themeColor="text2"/>
          <w:sz w:val="22"/>
          <w:szCs w:val="22"/>
        </w:rPr>
      </w:pPr>
    </w:p>
    <w:p w14:paraId="20904659" w14:textId="6301C207" w:rsidR="00B4213B" w:rsidRPr="00A970D6" w:rsidRDefault="004E2278" w:rsidP="00A53F63">
      <w:pPr>
        <w:spacing w:after="200" w:line="276" w:lineRule="auto"/>
        <w:rPr>
          <w:rFonts w:ascii="Arial" w:hAnsi="Arial" w:cs="Arial"/>
          <w:b/>
          <w:color w:val="1F497D" w:themeColor="text2"/>
          <w:sz w:val="20"/>
          <w:szCs w:val="20"/>
        </w:rPr>
      </w:pPr>
      <w:r w:rsidRPr="00A970D6">
        <w:rPr>
          <w:rFonts w:ascii="Arial" w:hAnsi="Arial" w:cs="Arial"/>
          <w:b/>
          <w:color w:val="1F497D" w:themeColor="text2"/>
          <w:sz w:val="20"/>
          <w:szCs w:val="20"/>
        </w:rPr>
        <w:t>Qualifications</w:t>
      </w:r>
      <w:r w:rsidR="00B71E32" w:rsidRPr="00A970D6">
        <w:rPr>
          <w:rFonts w:ascii="Arial" w:hAnsi="Arial" w:cs="Arial"/>
          <w:b/>
          <w:color w:val="1F497D" w:themeColor="text2"/>
          <w:sz w:val="20"/>
          <w:szCs w:val="20"/>
        </w:rPr>
        <w:t xml:space="preserve">, </w:t>
      </w:r>
      <w:r w:rsidRPr="00A970D6">
        <w:rPr>
          <w:rFonts w:ascii="Arial" w:hAnsi="Arial" w:cs="Arial"/>
          <w:b/>
          <w:color w:val="1F497D" w:themeColor="text2"/>
          <w:sz w:val="20"/>
          <w:szCs w:val="20"/>
        </w:rPr>
        <w:t>Experience</w:t>
      </w:r>
      <w:r w:rsidR="00B71E32" w:rsidRPr="00A970D6">
        <w:rPr>
          <w:rFonts w:ascii="Arial" w:hAnsi="Arial" w:cs="Arial"/>
          <w:b/>
          <w:color w:val="1F497D" w:themeColor="text2"/>
          <w:sz w:val="20"/>
          <w:szCs w:val="20"/>
        </w:rPr>
        <w:t>, Competence</w:t>
      </w:r>
    </w:p>
    <w:p w14:paraId="59E79926" w14:textId="77777777" w:rsidR="00B4213B" w:rsidRDefault="00B4213B" w:rsidP="00DF03FD">
      <w:pPr>
        <w:autoSpaceDE w:val="0"/>
        <w:autoSpaceDN w:val="0"/>
        <w:adjustRightInd w:val="0"/>
        <w:jc w:val="both"/>
        <w:rPr>
          <w:rFonts w:ascii="Arial" w:hAnsi="Arial" w:cs="Arial"/>
          <w:b/>
          <w:sz w:val="20"/>
          <w:szCs w:val="20"/>
          <w:u w:val="single"/>
        </w:rPr>
      </w:pPr>
      <w:r w:rsidRPr="00BA084B">
        <w:rPr>
          <w:rFonts w:ascii="Arial" w:hAnsi="Arial" w:cs="Arial"/>
          <w:b/>
          <w:sz w:val="20"/>
          <w:szCs w:val="20"/>
          <w:u w:val="single"/>
        </w:rPr>
        <w:t>Qualifications</w:t>
      </w:r>
    </w:p>
    <w:p w14:paraId="4C3202C1" w14:textId="77777777" w:rsidR="00D83ECF" w:rsidRDefault="00D83ECF" w:rsidP="00DF03FD">
      <w:pPr>
        <w:autoSpaceDE w:val="0"/>
        <w:autoSpaceDN w:val="0"/>
        <w:adjustRightInd w:val="0"/>
        <w:jc w:val="both"/>
        <w:rPr>
          <w:rFonts w:ascii="Arial" w:hAnsi="Arial" w:cs="Arial"/>
          <w:b/>
          <w:sz w:val="20"/>
          <w:szCs w:val="20"/>
          <w:u w:val="single"/>
        </w:rPr>
      </w:pPr>
    </w:p>
    <w:p w14:paraId="65D0583E" w14:textId="77777777" w:rsidR="00D83ECF" w:rsidRDefault="00D83ECF" w:rsidP="00D83ECF">
      <w:pPr>
        <w:pStyle w:val="ListParagraph"/>
        <w:numPr>
          <w:ilvl w:val="0"/>
          <w:numId w:val="31"/>
        </w:numPr>
        <w:jc w:val="both"/>
        <w:rPr>
          <w:rFonts w:ascii="Arial" w:hAnsi="Arial" w:cs="Arial"/>
          <w:sz w:val="22"/>
          <w:lang w:eastAsia="en-GB"/>
        </w:rPr>
      </w:pPr>
      <w:r>
        <w:rPr>
          <w:rFonts w:ascii="Arial" w:hAnsi="Arial" w:cs="Arial"/>
          <w:sz w:val="22"/>
          <w:lang w:eastAsia="en-GB"/>
        </w:rPr>
        <w:t>Law degree preferred.</w:t>
      </w:r>
    </w:p>
    <w:p w14:paraId="04D625F5" w14:textId="77777777" w:rsidR="00D83ECF" w:rsidRDefault="00D83ECF" w:rsidP="00D83ECF">
      <w:pPr>
        <w:pStyle w:val="ListParagraph"/>
        <w:numPr>
          <w:ilvl w:val="0"/>
          <w:numId w:val="31"/>
        </w:numPr>
        <w:jc w:val="both"/>
        <w:rPr>
          <w:rFonts w:ascii="Arial" w:hAnsi="Arial" w:cs="Arial"/>
          <w:sz w:val="22"/>
          <w:lang w:eastAsia="en-GB"/>
        </w:rPr>
      </w:pPr>
      <w:r>
        <w:rPr>
          <w:rFonts w:ascii="Arial" w:hAnsi="Arial" w:cs="Arial"/>
          <w:sz w:val="22"/>
          <w:lang w:eastAsia="en-GB"/>
        </w:rPr>
        <w:t>Insurance experience desirable.</w:t>
      </w:r>
    </w:p>
    <w:p w14:paraId="6A003DCF" w14:textId="77777777" w:rsidR="00D83ECF" w:rsidRDefault="00D83ECF" w:rsidP="00DF03FD">
      <w:pPr>
        <w:autoSpaceDE w:val="0"/>
        <w:autoSpaceDN w:val="0"/>
        <w:adjustRightInd w:val="0"/>
        <w:jc w:val="both"/>
        <w:rPr>
          <w:rFonts w:ascii="Arial" w:hAnsi="Arial" w:cs="Arial"/>
          <w:b/>
          <w:sz w:val="20"/>
          <w:szCs w:val="20"/>
          <w:u w:val="single"/>
        </w:rPr>
      </w:pPr>
    </w:p>
    <w:p w14:paraId="6BAC8720" w14:textId="77777777" w:rsidR="00D83ECF" w:rsidRDefault="00D83ECF" w:rsidP="00DF03FD">
      <w:pPr>
        <w:autoSpaceDE w:val="0"/>
        <w:autoSpaceDN w:val="0"/>
        <w:adjustRightInd w:val="0"/>
        <w:jc w:val="both"/>
        <w:rPr>
          <w:rFonts w:ascii="Arial" w:hAnsi="Arial" w:cs="Arial"/>
          <w:b/>
          <w:sz w:val="20"/>
          <w:szCs w:val="20"/>
          <w:u w:val="single"/>
        </w:rPr>
      </w:pPr>
    </w:p>
    <w:p w14:paraId="33ECC28B" w14:textId="77777777" w:rsidR="00D83ECF" w:rsidRPr="00BA084B" w:rsidRDefault="00D83ECF" w:rsidP="00DF03FD">
      <w:pPr>
        <w:autoSpaceDE w:val="0"/>
        <w:autoSpaceDN w:val="0"/>
        <w:adjustRightInd w:val="0"/>
        <w:jc w:val="both"/>
        <w:rPr>
          <w:rFonts w:ascii="Arial" w:hAnsi="Arial" w:cs="Arial"/>
          <w:b/>
          <w:sz w:val="20"/>
          <w:szCs w:val="20"/>
          <w:u w:val="single"/>
        </w:rPr>
      </w:pPr>
    </w:p>
    <w:p w14:paraId="1C90B4E0" w14:textId="7EDC59AE" w:rsidR="005E098E" w:rsidRPr="00BA084B" w:rsidRDefault="00B4213B" w:rsidP="000F4F50">
      <w:pPr>
        <w:autoSpaceDE w:val="0"/>
        <w:autoSpaceDN w:val="0"/>
        <w:adjustRightInd w:val="0"/>
        <w:jc w:val="both"/>
        <w:rPr>
          <w:rFonts w:ascii="Arial" w:hAnsi="Arial" w:cs="Arial"/>
          <w:sz w:val="20"/>
          <w:szCs w:val="20"/>
          <w:u w:val="single"/>
        </w:rPr>
      </w:pPr>
      <w:r w:rsidRPr="00BA084B">
        <w:rPr>
          <w:rFonts w:ascii="Arial" w:hAnsi="Arial" w:cs="Arial"/>
          <w:b/>
          <w:sz w:val="20"/>
          <w:szCs w:val="20"/>
          <w:u w:val="single"/>
          <w:lang w:val="en" w:eastAsia="en-GB"/>
        </w:rPr>
        <w:t>Experience</w:t>
      </w:r>
      <w:r w:rsidR="004B4465" w:rsidRPr="00BA084B">
        <w:rPr>
          <w:rFonts w:ascii="Arial" w:hAnsi="Arial" w:cs="Arial"/>
          <w:b/>
          <w:sz w:val="20"/>
          <w:szCs w:val="20"/>
          <w:u w:val="single"/>
          <w:lang w:val="en" w:eastAsia="en-GB"/>
        </w:rPr>
        <w:t xml:space="preserve"> </w:t>
      </w:r>
    </w:p>
    <w:p w14:paraId="6C1910E0" w14:textId="77777777" w:rsidR="00B71E32" w:rsidRDefault="00B71E32" w:rsidP="00DF03FD">
      <w:pPr>
        <w:jc w:val="both"/>
        <w:rPr>
          <w:rFonts w:ascii="Arial" w:hAnsi="Arial" w:cs="Arial"/>
          <w:sz w:val="20"/>
          <w:szCs w:val="20"/>
        </w:rPr>
      </w:pPr>
    </w:p>
    <w:p w14:paraId="6A1900AC" w14:textId="77777777" w:rsidR="00A1799E" w:rsidRDefault="00A1799E" w:rsidP="00A1799E">
      <w:pPr>
        <w:pStyle w:val="ListParagraph"/>
        <w:numPr>
          <w:ilvl w:val="0"/>
          <w:numId w:val="31"/>
        </w:numPr>
        <w:jc w:val="both"/>
        <w:rPr>
          <w:rFonts w:ascii="Arial" w:hAnsi="Arial" w:cs="Arial"/>
          <w:sz w:val="22"/>
          <w:lang w:eastAsia="en-GB"/>
        </w:rPr>
      </w:pPr>
      <w:r>
        <w:rPr>
          <w:rFonts w:ascii="Arial" w:hAnsi="Arial" w:cs="Arial"/>
          <w:sz w:val="22"/>
          <w:lang w:eastAsia="en-GB"/>
        </w:rPr>
        <w:t xml:space="preserve">Successful and profitable track record. </w:t>
      </w:r>
    </w:p>
    <w:p w14:paraId="5C3BBFB8" w14:textId="77777777" w:rsidR="00A1799E" w:rsidRDefault="00A1799E" w:rsidP="00A1799E">
      <w:pPr>
        <w:pStyle w:val="ListParagraph"/>
        <w:numPr>
          <w:ilvl w:val="0"/>
          <w:numId w:val="31"/>
        </w:numPr>
        <w:jc w:val="both"/>
        <w:rPr>
          <w:rFonts w:ascii="Arial" w:hAnsi="Arial" w:cs="Arial"/>
          <w:sz w:val="22"/>
          <w:lang w:eastAsia="en-GB"/>
        </w:rPr>
      </w:pPr>
      <w:r>
        <w:rPr>
          <w:rFonts w:ascii="Arial" w:hAnsi="Arial" w:cs="Arial"/>
          <w:sz w:val="22"/>
          <w:lang w:eastAsia="en-GB"/>
        </w:rPr>
        <w:t xml:space="preserve">Ability to make sound decisions based on data and risk assessment and ability to make a positive impact on the long-term success of the overall business in planning, organization and development. </w:t>
      </w:r>
    </w:p>
    <w:p w14:paraId="7B36CBA2" w14:textId="77777777" w:rsidR="00A1799E" w:rsidRDefault="00A1799E" w:rsidP="00A1799E">
      <w:pPr>
        <w:pStyle w:val="ListParagraph"/>
        <w:numPr>
          <w:ilvl w:val="0"/>
          <w:numId w:val="31"/>
        </w:numPr>
        <w:jc w:val="both"/>
        <w:rPr>
          <w:rFonts w:ascii="Arial" w:hAnsi="Arial" w:cs="Arial"/>
          <w:sz w:val="22"/>
          <w:lang w:eastAsia="en-GB"/>
        </w:rPr>
      </w:pPr>
      <w:r>
        <w:rPr>
          <w:rFonts w:ascii="Arial" w:hAnsi="Arial" w:cs="Arial"/>
          <w:sz w:val="22"/>
          <w:lang w:eastAsia="en-GB"/>
        </w:rPr>
        <w:t xml:space="preserve">Good communicator, both verbally and written. </w:t>
      </w:r>
    </w:p>
    <w:p w14:paraId="3FA41712" w14:textId="77777777" w:rsidR="00A1799E" w:rsidRDefault="00A1799E" w:rsidP="00A1799E">
      <w:pPr>
        <w:pStyle w:val="ListParagraph"/>
        <w:numPr>
          <w:ilvl w:val="0"/>
          <w:numId w:val="31"/>
        </w:numPr>
        <w:jc w:val="both"/>
        <w:rPr>
          <w:rFonts w:ascii="Arial" w:hAnsi="Arial" w:cs="Arial"/>
          <w:sz w:val="22"/>
          <w:lang w:eastAsia="en-GB"/>
        </w:rPr>
      </w:pPr>
      <w:r>
        <w:rPr>
          <w:rFonts w:ascii="Arial" w:hAnsi="Arial" w:cs="Arial"/>
          <w:sz w:val="22"/>
          <w:lang w:eastAsia="en-GB"/>
        </w:rPr>
        <w:t xml:space="preserve">Models Company Values </w:t>
      </w:r>
    </w:p>
    <w:p w14:paraId="21CBD574" w14:textId="77777777" w:rsidR="00A1799E" w:rsidRPr="00A1799E" w:rsidRDefault="00A1799E" w:rsidP="00A1799E">
      <w:pPr>
        <w:pStyle w:val="ListParagraph"/>
        <w:numPr>
          <w:ilvl w:val="0"/>
          <w:numId w:val="31"/>
        </w:numPr>
        <w:rPr>
          <w:rFonts w:ascii="Arial" w:hAnsi="Arial" w:cs="Arial"/>
          <w:sz w:val="22"/>
          <w:lang w:eastAsia="en-GB"/>
        </w:rPr>
      </w:pPr>
      <w:r w:rsidRPr="00A1799E">
        <w:rPr>
          <w:rFonts w:ascii="Arial" w:hAnsi="Arial" w:cs="Arial"/>
          <w:sz w:val="22"/>
          <w:lang w:eastAsia="en-GB"/>
        </w:rPr>
        <w:t xml:space="preserve">Team Work. </w:t>
      </w:r>
    </w:p>
    <w:p w14:paraId="173C7D7B" w14:textId="77777777" w:rsidR="00A1799E" w:rsidRPr="00A1799E" w:rsidRDefault="00A1799E" w:rsidP="00A1799E">
      <w:pPr>
        <w:pStyle w:val="ListParagraph"/>
        <w:numPr>
          <w:ilvl w:val="0"/>
          <w:numId w:val="31"/>
        </w:numPr>
        <w:rPr>
          <w:rFonts w:ascii="Arial" w:hAnsi="Arial" w:cs="Arial"/>
          <w:sz w:val="22"/>
          <w:lang w:eastAsia="en-GB"/>
        </w:rPr>
      </w:pPr>
      <w:r w:rsidRPr="00A1799E">
        <w:rPr>
          <w:rFonts w:ascii="Arial" w:hAnsi="Arial" w:cs="Arial"/>
          <w:sz w:val="22"/>
          <w:lang w:eastAsia="en-GB"/>
        </w:rPr>
        <w:t>Business Competence and Technical Knowledge</w:t>
      </w:r>
    </w:p>
    <w:p w14:paraId="60C937BA" w14:textId="77777777" w:rsidR="00A1799E" w:rsidRDefault="00A1799E" w:rsidP="00A1799E">
      <w:pPr>
        <w:pStyle w:val="ListParagraph"/>
        <w:jc w:val="both"/>
        <w:rPr>
          <w:rFonts w:ascii="Arial" w:hAnsi="Arial" w:cs="Arial"/>
          <w:sz w:val="22"/>
          <w:lang w:eastAsia="en-GB"/>
        </w:rPr>
      </w:pPr>
    </w:p>
    <w:p w14:paraId="65498401" w14:textId="77777777" w:rsidR="00A1799E" w:rsidRPr="00BA084B" w:rsidRDefault="00A1799E" w:rsidP="00DF03FD">
      <w:pPr>
        <w:jc w:val="both"/>
        <w:rPr>
          <w:rFonts w:ascii="Arial" w:hAnsi="Arial" w:cs="Arial"/>
          <w:sz w:val="20"/>
          <w:szCs w:val="20"/>
        </w:rPr>
      </w:pPr>
    </w:p>
    <w:p w14:paraId="18A95A16" w14:textId="532E4FAC" w:rsidR="000F4F50" w:rsidRPr="009A2E74" w:rsidRDefault="00264EC0" w:rsidP="00271BBA">
      <w:pPr>
        <w:jc w:val="both"/>
        <w:rPr>
          <w:rFonts w:ascii="Arial" w:hAnsi="Arial" w:cs="Arial"/>
          <w:b/>
          <w:sz w:val="20"/>
          <w:szCs w:val="20"/>
          <w:u w:val="single"/>
        </w:rPr>
      </w:pPr>
      <w:r w:rsidRPr="009A2E74">
        <w:rPr>
          <w:rFonts w:ascii="Arial" w:hAnsi="Arial" w:cs="Arial"/>
          <w:b/>
          <w:sz w:val="20"/>
          <w:szCs w:val="20"/>
          <w:u w:val="single"/>
        </w:rPr>
        <w:t>Functional/Technical</w:t>
      </w:r>
      <w:r w:rsidR="00B71E32" w:rsidRPr="009A2E74">
        <w:rPr>
          <w:rFonts w:ascii="Arial" w:hAnsi="Arial" w:cs="Arial"/>
          <w:b/>
          <w:sz w:val="20"/>
          <w:szCs w:val="20"/>
          <w:u w:val="single"/>
        </w:rPr>
        <w:t xml:space="preserve"> Competencies </w:t>
      </w:r>
    </w:p>
    <w:p w14:paraId="6F21A776" w14:textId="77777777" w:rsidR="00A1799E" w:rsidRPr="009A2E74" w:rsidRDefault="00A1799E" w:rsidP="00271BBA">
      <w:pPr>
        <w:jc w:val="both"/>
        <w:rPr>
          <w:rFonts w:ascii="Arial" w:hAnsi="Arial" w:cs="Arial"/>
          <w:b/>
          <w:sz w:val="20"/>
          <w:szCs w:val="20"/>
          <w:u w:val="single"/>
        </w:rPr>
      </w:pPr>
    </w:p>
    <w:p w14:paraId="331D565C" w14:textId="77777777" w:rsidR="00A1799E" w:rsidRPr="009A2E74" w:rsidRDefault="00A1799E" w:rsidP="00271BBA">
      <w:pPr>
        <w:jc w:val="both"/>
        <w:rPr>
          <w:rFonts w:ascii="Arial" w:hAnsi="Arial" w:cs="Arial"/>
          <w:b/>
          <w:sz w:val="20"/>
          <w:szCs w:val="20"/>
          <w:u w:val="single"/>
        </w:rPr>
      </w:pPr>
    </w:p>
    <w:p w14:paraId="0F5FAF91" w14:textId="4674FAE1" w:rsidR="00A1799E" w:rsidRPr="009A2E74" w:rsidRDefault="00A1799E" w:rsidP="00A1799E">
      <w:pPr>
        <w:pStyle w:val="ListParagraph"/>
        <w:numPr>
          <w:ilvl w:val="0"/>
          <w:numId w:val="31"/>
        </w:numPr>
        <w:jc w:val="both"/>
        <w:rPr>
          <w:rFonts w:ascii="Arial" w:hAnsi="Arial" w:cs="Arial"/>
          <w:sz w:val="22"/>
          <w:lang w:eastAsia="en-GB"/>
        </w:rPr>
      </w:pPr>
      <w:r w:rsidRPr="009A2E74">
        <w:rPr>
          <w:rFonts w:ascii="Arial" w:hAnsi="Arial" w:cs="Arial"/>
          <w:sz w:val="22"/>
          <w:lang w:eastAsia="en-GB"/>
        </w:rPr>
        <w:t xml:space="preserve">Proficiency with MS office and other programmes. </w:t>
      </w:r>
    </w:p>
    <w:p w14:paraId="7FFA6FF8" w14:textId="632EF13C" w:rsidR="00A1799E" w:rsidRPr="00A1799E" w:rsidRDefault="00A1799E" w:rsidP="00A1799E">
      <w:pPr>
        <w:pStyle w:val="ListParagraph"/>
        <w:jc w:val="both"/>
        <w:rPr>
          <w:rFonts w:ascii="Arial" w:hAnsi="Arial" w:cs="Arial"/>
          <w:sz w:val="22"/>
          <w:lang w:eastAsia="en-GB"/>
        </w:rPr>
      </w:pPr>
    </w:p>
    <w:p w14:paraId="5C80752E" w14:textId="45A67A99" w:rsidR="00A1799E" w:rsidRDefault="00A1799E" w:rsidP="00A1799E">
      <w:pPr>
        <w:pStyle w:val="ListParagraph"/>
        <w:jc w:val="both"/>
        <w:rPr>
          <w:rFonts w:ascii="Arial" w:hAnsi="Arial" w:cs="Arial"/>
          <w:sz w:val="22"/>
          <w:lang w:eastAsia="en-GB"/>
        </w:rPr>
      </w:pPr>
    </w:p>
    <w:p w14:paraId="3F2380EA" w14:textId="1AE97905" w:rsidR="00C63450" w:rsidRPr="00BA084B" w:rsidRDefault="00C63450" w:rsidP="00A1799E">
      <w:pPr>
        <w:jc w:val="both"/>
        <w:rPr>
          <w:rFonts w:ascii="Arial" w:eastAsiaTheme="minorHAnsi" w:hAnsi="Arial" w:cs="Arial"/>
          <w:bCs/>
          <w:sz w:val="20"/>
          <w:szCs w:val="20"/>
          <w:u w:val="single"/>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(Employees)</w:t>
      </w:r>
      <w:r w:rsidRPr="00BA084B">
        <w:rPr>
          <w:rFonts w:ascii="Arial" w:eastAsiaTheme="minorHAnsi" w:hAnsi="Arial" w:cs="Arial"/>
          <w:bCs/>
          <w:sz w:val="20"/>
          <w:szCs w:val="20"/>
          <w:u w:val="single"/>
          <w:lang w:val="en-GB"/>
        </w:rPr>
        <w:t xml:space="preserve"> </w:t>
      </w:r>
    </w:p>
    <w:p w14:paraId="501558F0" w14:textId="77777777" w:rsidR="00C63450" w:rsidRPr="00BA084B" w:rsidRDefault="00C63450" w:rsidP="00C63450">
      <w:pPr>
        <w:jc w:val="both"/>
        <w:rPr>
          <w:rFonts w:ascii="Arial" w:eastAsiaTheme="minorHAnsi" w:hAnsi="Arial" w:cs="Arial"/>
          <w:bCs/>
          <w:sz w:val="20"/>
          <w:szCs w:val="20"/>
          <w:u w:val="single"/>
          <w:lang w:val="en-GB"/>
        </w:rPr>
      </w:pPr>
    </w:p>
    <w:p w14:paraId="5E01D769"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Results Driven: </w:t>
      </w:r>
      <w:r w:rsidRPr="00BA084B">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BA084B" w:rsidRDefault="00C63450" w:rsidP="00C63450">
      <w:pPr>
        <w:jc w:val="both"/>
        <w:rPr>
          <w:rFonts w:ascii="Arial" w:eastAsiaTheme="minorHAnsi" w:hAnsi="Arial" w:cs="Arial"/>
          <w:sz w:val="20"/>
          <w:szCs w:val="20"/>
          <w:lang w:val="en-GB"/>
        </w:rPr>
      </w:pPr>
    </w:p>
    <w:p w14:paraId="4AADF960"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Adaptable &amp; Open to Change: </w:t>
      </w:r>
      <w:r w:rsidRPr="00BA084B">
        <w:rPr>
          <w:rFonts w:ascii="Arial" w:eastAsiaTheme="minorHAnsi" w:hAnsi="Arial"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BA084B" w:rsidRDefault="00C63450" w:rsidP="00C63450">
      <w:pPr>
        <w:jc w:val="both"/>
        <w:rPr>
          <w:rFonts w:ascii="Arial" w:eastAsiaTheme="minorHAnsi" w:hAnsi="Arial" w:cs="Arial"/>
          <w:sz w:val="20"/>
          <w:szCs w:val="20"/>
          <w:lang w:val="en-GB"/>
        </w:rPr>
      </w:pPr>
    </w:p>
    <w:p w14:paraId="5CACC542" w14:textId="581038AB"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8D5851">
        <w:rPr>
          <w:rFonts w:ascii="Arial" w:eastAsiaTheme="minorHAnsi" w:hAnsi="Arial" w:cs="Arial"/>
          <w:sz w:val="20"/>
          <w:szCs w:val="20"/>
          <w:lang w:val="en-GB"/>
        </w:rPr>
        <w:t>that all our customers are treated fairly and receive good outcomes in accordance with our regulatory requirements.</w:t>
      </w:r>
    </w:p>
    <w:p w14:paraId="6B186285" w14:textId="77777777" w:rsidR="00C63450" w:rsidRPr="00BA084B" w:rsidRDefault="00C63450" w:rsidP="00C63450">
      <w:pPr>
        <w:jc w:val="both"/>
        <w:rPr>
          <w:rFonts w:ascii="Arial" w:eastAsiaTheme="minorHAnsi" w:hAnsi="Arial" w:cs="Arial"/>
          <w:sz w:val="20"/>
          <w:szCs w:val="20"/>
          <w:lang w:val="en-GB"/>
        </w:rPr>
      </w:pPr>
    </w:p>
    <w:p w14:paraId="21887796" w14:textId="644E35BF" w:rsidR="00C63450"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BA084B">
        <w:rPr>
          <w:rFonts w:ascii="Arial" w:eastAsiaTheme="minorHAnsi" w:hAnsi="Arial" w:cs="Arial"/>
          <w:sz w:val="20"/>
          <w:szCs w:val="20"/>
          <w:lang w:val="en-GB"/>
        </w:rPr>
        <w:t xml:space="preserve">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w:t>
      </w:r>
      <w:r w:rsidR="00E670EA" w:rsidRPr="00E670EA">
        <w:rPr>
          <w:rFonts w:ascii="Arial" w:eastAsiaTheme="minorHAnsi" w:hAnsi="Arial" w:cs="Arial"/>
          <w:sz w:val="20"/>
          <w:szCs w:val="20"/>
        </w:rPr>
        <w:t>ensures the timely closure of internal audit actions;</w:t>
      </w:r>
      <w:r w:rsidR="00E670EA">
        <w:rPr>
          <w:rFonts w:ascii="Arial" w:eastAsiaTheme="minorHAnsi" w:hAnsi="Arial" w:cs="Arial"/>
          <w:b/>
          <w:bCs/>
          <w:sz w:val="20"/>
          <w:szCs w:val="20"/>
        </w:rPr>
        <w:t xml:space="preserve"> </w:t>
      </w:r>
      <w:r w:rsidRPr="00BA084B">
        <w:rPr>
          <w:rFonts w:ascii="Arial" w:eastAsiaTheme="minorHAnsi" w:hAnsi="Arial" w:cs="Arial"/>
          <w:sz w:val="20"/>
          <w:szCs w:val="20"/>
          <w:lang w:val="en-GB"/>
        </w:rPr>
        <w:t>supports continuous improvement in the management of risk.</w:t>
      </w:r>
    </w:p>
    <w:p w14:paraId="1A65E7EC" w14:textId="77777777" w:rsidR="00C63450" w:rsidRDefault="00C63450" w:rsidP="00271BBA">
      <w:pPr>
        <w:jc w:val="both"/>
        <w:rPr>
          <w:rFonts w:ascii="Arial" w:hAnsi="Arial" w:cs="Arial"/>
          <w:b/>
          <w:sz w:val="20"/>
          <w:szCs w:val="20"/>
          <w:u w:val="single"/>
        </w:rPr>
      </w:pPr>
    </w:p>
    <w:p w14:paraId="06E9531E"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lastRenderedPageBreak/>
        <w:t>Collaboration</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C63450" w:rsidRDefault="00C63450" w:rsidP="00C63450">
      <w:pPr>
        <w:jc w:val="both"/>
        <w:rPr>
          <w:rFonts w:ascii="Arial" w:eastAsiaTheme="minorHAnsi" w:hAnsi="Arial" w:cs="Arial"/>
          <w:sz w:val="20"/>
          <w:szCs w:val="20"/>
          <w:lang w:val="en-GB"/>
        </w:rPr>
      </w:pPr>
    </w:p>
    <w:p w14:paraId="1AAFA481"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Continuing Professional Development</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C63450" w:rsidRDefault="00C63450" w:rsidP="00C63450">
      <w:pPr>
        <w:jc w:val="both"/>
        <w:rPr>
          <w:rFonts w:ascii="Arial" w:eastAsiaTheme="minorHAnsi" w:hAnsi="Arial" w:cs="Arial"/>
          <w:sz w:val="20"/>
          <w:szCs w:val="20"/>
          <w:lang w:val="en-GB"/>
        </w:rPr>
      </w:pPr>
    </w:p>
    <w:p w14:paraId="1B491C9D" w14:textId="5EDB8096" w:rsidR="00A1799E" w:rsidRPr="00C63450" w:rsidRDefault="00C63450" w:rsidP="00A1799E">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AmTrust Values</w:t>
      </w:r>
      <w:r w:rsidRPr="00C63450">
        <w:rPr>
          <w:rFonts w:ascii="Arial" w:eastAsiaTheme="minorHAnsi" w:hAnsi="Arial" w:cs="Arial"/>
          <w:sz w:val="20"/>
          <w:szCs w:val="20"/>
          <w:lang w:val="en-GB"/>
        </w:rPr>
        <w:t>: Able to demonstrate and role model AmTrust’s values: Excellence, Innovation, Integrity, Responsibility, Inclusion and Teamwork.</w:t>
      </w:r>
    </w:p>
    <w:p w14:paraId="4C19B577" w14:textId="77777777" w:rsidR="00C63450" w:rsidRPr="00A1799E" w:rsidRDefault="00C63450" w:rsidP="00C63450">
      <w:pPr>
        <w:jc w:val="both"/>
        <w:rPr>
          <w:rFonts w:ascii="Arial" w:eastAsiaTheme="minorHAnsi" w:hAnsi="Arial" w:cs="Arial"/>
          <w:b/>
          <w:bCs/>
          <w:sz w:val="20"/>
          <w:szCs w:val="20"/>
          <w:lang w:val="en-GB"/>
        </w:rPr>
      </w:pPr>
    </w:p>
    <w:p w14:paraId="4507B520" w14:textId="58E8A5B6" w:rsidR="00277B41" w:rsidRPr="00BA084B" w:rsidRDefault="00A1799E" w:rsidP="00AD4C06">
      <w:pPr>
        <w:spacing w:after="200" w:line="276" w:lineRule="auto"/>
        <w:rPr>
          <w:rFonts w:ascii="Arial" w:hAnsi="Arial" w:cs="Arial"/>
          <w:sz w:val="20"/>
          <w:szCs w:val="20"/>
        </w:rPr>
      </w:pPr>
      <w:r w:rsidRPr="00A613F9">
        <w:rPr>
          <w:rFonts w:ascii="Arial" w:hAnsi="Arial" w:cs="Arial"/>
          <w:b/>
          <w:bCs/>
          <w:sz w:val="20"/>
          <w:szCs w:val="20"/>
        </w:rPr>
        <w:t>Conduct Rules:</w:t>
      </w:r>
      <w:r w:rsidRPr="00A613F9">
        <w:rPr>
          <w:rFonts w:ascii="Arial" w:hAnsi="Arial" w:cs="Arial"/>
          <w:sz w:val="20"/>
          <w:szCs w:val="20"/>
        </w:rPr>
        <w:t xml:space="preserve"> Acts at all times in accordance with the Conduct Rules (as set out above)</w:t>
      </w:r>
    </w:p>
    <w:sectPr w:rsidR="00277B41" w:rsidRPr="00BA084B" w:rsidSect="00874271">
      <w:footerReference w:type="default" r:id="rId11"/>
      <w:headerReference w:type="first" r:id="rId12"/>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6F19" w14:textId="77777777" w:rsidR="00242465" w:rsidRDefault="00242465" w:rsidP="00BC6F89">
      <w:r>
        <w:separator/>
      </w:r>
    </w:p>
  </w:endnote>
  <w:endnote w:type="continuationSeparator" w:id="0">
    <w:p w14:paraId="1C9699E7" w14:textId="77777777" w:rsidR="00242465" w:rsidRDefault="00242465"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672037"/>
      <w:docPartObj>
        <w:docPartGallery w:val="Page Numbers (Bottom of Page)"/>
        <w:docPartUnique/>
      </w:docPartObj>
    </w:sdtPr>
    <w:sdtEndPr/>
    <w:sdtContent>
      <w:p w14:paraId="2D80215E" w14:textId="28BA4E47" w:rsidR="0000533C" w:rsidRDefault="0000533C">
        <w:pPr>
          <w:pStyle w:val="Footer"/>
          <w:jc w:val="right"/>
        </w:pPr>
        <w:r>
          <w:fldChar w:fldCharType="begin"/>
        </w:r>
        <w:r>
          <w:instrText>PAGE   \* MERGEFORMAT</w:instrText>
        </w:r>
        <w:r>
          <w:fldChar w:fldCharType="separate"/>
        </w:r>
        <w:r>
          <w:rPr>
            <w:lang w:val="en-GB"/>
          </w:rPr>
          <w:t>2</w:t>
        </w:r>
        <w:r>
          <w:fldChar w:fldCharType="end"/>
        </w:r>
      </w:p>
    </w:sdtContent>
  </w:sdt>
  <w:p w14:paraId="79533F99" w14:textId="77777777" w:rsidR="0000533C" w:rsidRDefault="0000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5E69" w14:textId="77777777" w:rsidR="00242465" w:rsidRDefault="00242465" w:rsidP="00BC6F89">
      <w:r>
        <w:separator/>
      </w:r>
    </w:p>
  </w:footnote>
  <w:footnote w:type="continuationSeparator" w:id="0">
    <w:p w14:paraId="2053790C" w14:textId="77777777" w:rsidR="00242465" w:rsidRDefault="00242465"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CB"/>
    <w:multiLevelType w:val="hybridMultilevel"/>
    <w:tmpl w:val="14D21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C10E2"/>
    <w:multiLevelType w:val="hybridMultilevel"/>
    <w:tmpl w:val="AD90E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3EDB"/>
    <w:multiLevelType w:val="hybridMultilevel"/>
    <w:tmpl w:val="167C08B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4" w15:restartNumberingAfterBreak="0">
    <w:nsid w:val="3AC25DD3"/>
    <w:multiLevelType w:val="hybridMultilevel"/>
    <w:tmpl w:val="23EC8C12"/>
    <w:lvl w:ilvl="0" w:tplc="08090001">
      <w:start w:val="1"/>
      <w:numFmt w:val="bullet"/>
      <w:lvlText w:val=""/>
      <w:lvlJc w:val="left"/>
      <w:pPr>
        <w:ind w:left="450" w:hanging="360"/>
      </w:pPr>
      <w:rPr>
        <w:rFonts w:ascii="Symbol" w:hAnsi="Symbol" w:hint="default"/>
      </w:rPr>
    </w:lvl>
    <w:lvl w:ilvl="1" w:tplc="08090003">
      <w:start w:val="1"/>
      <w:numFmt w:val="bullet"/>
      <w:lvlText w:val="o"/>
      <w:lvlJc w:val="left"/>
      <w:pPr>
        <w:ind w:left="1170" w:hanging="360"/>
      </w:pPr>
      <w:rPr>
        <w:rFonts w:ascii="Courier New" w:hAnsi="Courier New" w:cs="Courier New" w:hint="default"/>
      </w:rPr>
    </w:lvl>
    <w:lvl w:ilvl="2" w:tplc="08090005">
      <w:start w:val="1"/>
      <w:numFmt w:val="bullet"/>
      <w:lvlText w:val=""/>
      <w:lvlJc w:val="left"/>
      <w:pPr>
        <w:ind w:left="1890" w:hanging="360"/>
      </w:pPr>
      <w:rPr>
        <w:rFonts w:ascii="Wingdings" w:hAnsi="Wingdings" w:hint="default"/>
      </w:rPr>
    </w:lvl>
    <w:lvl w:ilvl="3" w:tplc="08090001">
      <w:start w:val="1"/>
      <w:numFmt w:val="bullet"/>
      <w:lvlText w:val=""/>
      <w:lvlJc w:val="left"/>
      <w:pPr>
        <w:ind w:left="2610" w:hanging="360"/>
      </w:pPr>
      <w:rPr>
        <w:rFonts w:ascii="Symbol" w:hAnsi="Symbol" w:hint="default"/>
      </w:rPr>
    </w:lvl>
    <w:lvl w:ilvl="4" w:tplc="08090003">
      <w:start w:val="1"/>
      <w:numFmt w:val="bullet"/>
      <w:lvlText w:val="o"/>
      <w:lvlJc w:val="left"/>
      <w:pPr>
        <w:ind w:left="3330" w:hanging="360"/>
      </w:pPr>
      <w:rPr>
        <w:rFonts w:ascii="Courier New" w:hAnsi="Courier New" w:cs="Courier New" w:hint="default"/>
      </w:rPr>
    </w:lvl>
    <w:lvl w:ilvl="5" w:tplc="08090005">
      <w:start w:val="1"/>
      <w:numFmt w:val="bullet"/>
      <w:lvlText w:val=""/>
      <w:lvlJc w:val="left"/>
      <w:pPr>
        <w:ind w:left="4050" w:hanging="360"/>
      </w:pPr>
      <w:rPr>
        <w:rFonts w:ascii="Wingdings" w:hAnsi="Wingdings" w:hint="default"/>
      </w:rPr>
    </w:lvl>
    <w:lvl w:ilvl="6" w:tplc="08090001">
      <w:start w:val="1"/>
      <w:numFmt w:val="bullet"/>
      <w:lvlText w:val=""/>
      <w:lvlJc w:val="left"/>
      <w:pPr>
        <w:ind w:left="4770" w:hanging="360"/>
      </w:pPr>
      <w:rPr>
        <w:rFonts w:ascii="Symbol" w:hAnsi="Symbol" w:hint="default"/>
      </w:rPr>
    </w:lvl>
    <w:lvl w:ilvl="7" w:tplc="08090003">
      <w:start w:val="1"/>
      <w:numFmt w:val="bullet"/>
      <w:lvlText w:val="o"/>
      <w:lvlJc w:val="left"/>
      <w:pPr>
        <w:ind w:left="5490" w:hanging="360"/>
      </w:pPr>
      <w:rPr>
        <w:rFonts w:ascii="Courier New" w:hAnsi="Courier New" w:cs="Courier New" w:hint="default"/>
      </w:rPr>
    </w:lvl>
    <w:lvl w:ilvl="8" w:tplc="08090005">
      <w:start w:val="1"/>
      <w:numFmt w:val="bullet"/>
      <w:lvlText w:val=""/>
      <w:lvlJc w:val="left"/>
      <w:pPr>
        <w:ind w:left="6210" w:hanging="360"/>
      </w:pPr>
      <w:rPr>
        <w:rFonts w:ascii="Wingdings" w:hAnsi="Wingdings" w:hint="default"/>
      </w:rPr>
    </w:lvl>
  </w:abstractNum>
  <w:abstractNum w:abstractNumId="15"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9"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8"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7"/>
  </w:num>
  <w:num w:numId="2" w16cid:durableId="408426712">
    <w:abstractNumId w:val="2"/>
  </w:num>
  <w:num w:numId="3" w16cid:durableId="1279950123">
    <w:abstractNumId w:val="12"/>
  </w:num>
  <w:num w:numId="4" w16cid:durableId="1023634287">
    <w:abstractNumId w:val="4"/>
  </w:num>
  <w:num w:numId="5" w16cid:durableId="1116682808">
    <w:abstractNumId w:val="9"/>
  </w:num>
  <w:num w:numId="6" w16cid:durableId="1583031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9"/>
  </w:num>
  <w:num w:numId="9" w16cid:durableId="1856573749">
    <w:abstractNumId w:val="5"/>
  </w:num>
  <w:num w:numId="10" w16cid:durableId="1313607849">
    <w:abstractNumId w:val="17"/>
  </w:num>
  <w:num w:numId="11" w16cid:durableId="163395965">
    <w:abstractNumId w:val="23"/>
  </w:num>
  <w:num w:numId="12" w16cid:durableId="347027577">
    <w:abstractNumId w:val="10"/>
  </w:num>
  <w:num w:numId="13" w16cid:durableId="1789082729">
    <w:abstractNumId w:val="15"/>
  </w:num>
  <w:num w:numId="14" w16cid:durableId="150486009">
    <w:abstractNumId w:val="8"/>
  </w:num>
  <w:num w:numId="15" w16cid:durableId="549270635">
    <w:abstractNumId w:val="28"/>
  </w:num>
  <w:num w:numId="16" w16cid:durableId="1458140019">
    <w:abstractNumId w:val="24"/>
  </w:num>
  <w:num w:numId="17" w16cid:durableId="2135371127">
    <w:abstractNumId w:val="21"/>
  </w:num>
  <w:num w:numId="18" w16cid:durableId="467010929">
    <w:abstractNumId w:val="1"/>
  </w:num>
  <w:num w:numId="19" w16cid:durableId="1831092598">
    <w:abstractNumId w:val="25"/>
  </w:num>
  <w:num w:numId="20" w16cid:durableId="2053264296">
    <w:abstractNumId w:val="16"/>
  </w:num>
  <w:num w:numId="21" w16cid:durableId="1885093242">
    <w:abstractNumId w:val="6"/>
  </w:num>
  <w:num w:numId="22" w16cid:durableId="884827092">
    <w:abstractNumId w:val="26"/>
  </w:num>
  <w:num w:numId="23" w16cid:durableId="2136556928">
    <w:abstractNumId w:val="3"/>
  </w:num>
  <w:num w:numId="24" w16cid:durableId="298337982">
    <w:abstractNumId w:val="13"/>
  </w:num>
  <w:num w:numId="25" w16cid:durableId="614100224">
    <w:abstractNumId w:val="20"/>
  </w:num>
  <w:num w:numId="26" w16cid:durableId="543255956">
    <w:abstractNumId w:val="22"/>
  </w:num>
  <w:num w:numId="27" w16cid:durableId="2072728598">
    <w:abstractNumId w:val="11"/>
  </w:num>
  <w:num w:numId="28" w16cid:durableId="543640335">
    <w:abstractNumId w:val="18"/>
  </w:num>
  <w:num w:numId="29" w16cid:durableId="808324276">
    <w:abstractNumId w:val="7"/>
  </w:num>
  <w:num w:numId="30" w16cid:durableId="1842234992">
    <w:abstractNumId w:val="14"/>
  </w:num>
  <w:num w:numId="31" w16cid:durableId="8494880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533C"/>
    <w:rsid w:val="000064B6"/>
    <w:rsid w:val="00013A78"/>
    <w:rsid w:val="0002279E"/>
    <w:rsid w:val="00025B5A"/>
    <w:rsid w:val="000363FA"/>
    <w:rsid w:val="00037961"/>
    <w:rsid w:val="0004004F"/>
    <w:rsid w:val="00041B89"/>
    <w:rsid w:val="00044B09"/>
    <w:rsid w:val="000511E5"/>
    <w:rsid w:val="00055E1A"/>
    <w:rsid w:val="00056020"/>
    <w:rsid w:val="000565F9"/>
    <w:rsid w:val="000729C5"/>
    <w:rsid w:val="00083421"/>
    <w:rsid w:val="00091310"/>
    <w:rsid w:val="00092FA2"/>
    <w:rsid w:val="000950D2"/>
    <w:rsid w:val="00097D7B"/>
    <w:rsid w:val="000A1A25"/>
    <w:rsid w:val="000B739B"/>
    <w:rsid w:val="000C098F"/>
    <w:rsid w:val="000E4018"/>
    <w:rsid w:val="000E574F"/>
    <w:rsid w:val="000F4F50"/>
    <w:rsid w:val="0012150B"/>
    <w:rsid w:val="00137664"/>
    <w:rsid w:val="00143E65"/>
    <w:rsid w:val="00151C66"/>
    <w:rsid w:val="001700D1"/>
    <w:rsid w:val="0017026A"/>
    <w:rsid w:val="0017056A"/>
    <w:rsid w:val="001775AA"/>
    <w:rsid w:val="00182A28"/>
    <w:rsid w:val="001876AC"/>
    <w:rsid w:val="00190638"/>
    <w:rsid w:val="0019731B"/>
    <w:rsid w:val="001A4F0D"/>
    <w:rsid w:val="001C2690"/>
    <w:rsid w:val="001E5DA3"/>
    <w:rsid w:val="001E7E28"/>
    <w:rsid w:val="001F3147"/>
    <w:rsid w:val="00201D8A"/>
    <w:rsid w:val="00222851"/>
    <w:rsid w:val="00224C94"/>
    <w:rsid w:val="00227900"/>
    <w:rsid w:val="002351A1"/>
    <w:rsid w:val="00242465"/>
    <w:rsid w:val="00242EA9"/>
    <w:rsid w:val="00243E00"/>
    <w:rsid w:val="00264EC0"/>
    <w:rsid w:val="00266CF6"/>
    <w:rsid w:val="00271BBA"/>
    <w:rsid w:val="00271D5C"/>
    <w:rsid w:val="00277B41"/>
    <w:rsid w:val="00286B0D"/>
    <w:rsid w:val="002915C8"/>
    <w:rsid w:val="00295E62"/>
    <w:rsid w:val="002A12D8"/>
    <w:rsid w:val="002A2D9A"/>
    <w:rsid w:val="002C12E8"/>
    <w:rsid w:val="002C1FF9"/>
    <w:rsid w:val="002C2E6D"/>
    <w:rsid w:val="002C4FA5"/>
    <w:rsid w:val="002C7C18"/>
    <w:rsid w:val="002E7217"/>
    <w:rsid w:val="00312158"/>
    <w:rsid w:val="00312684"/>
    <w:rsid w:val="003159A5"/>
    <w:rsid w:val="00330EF0"/>
    <w:rsid w:val="003376E7"/>
    <w:rsid w:val="00340539"/>
    <w:rsid w:val="00347C44"/>
    <w:rsid w:val="00351AD3"/>
    <w:rsid w:val="00370EB3"/>
    <w:rsid w:val="003729FD"/>
    <w:rsid w:val="00374FE2"/>
    <w:rsid w:val="00375535"/>
    <w:rsid w:val="00380D04"/>
    <w:rsid w:val="00391E22"/>
    <w:rsid w:val="003E5DDA"/>
    <w:rsid w:val="00402A02"/>
    <w:rsid w:val="00407A0E"/>
    <w:rsid w:val="00412679"/>
    <w:rsid w:val="00417379"/>
    <w:rsid w:val="00417AAC"/>
    <w:rsid w:val="00417BE2"/>
    <w:rsid w:val="00422287"/>
    <w:rsid w:val="00436014"/>
    <w:rsid w:val="00437A71"/>
    <w:rsid w:val="00443E32"/>
    <w:rsid w:val="00450C62"/>
    <w:rsid w:val="004771FA"/>
    <w:rsid w:val="004851DB"/>
    <w:rsid w:val="004953B7"/>
    <w:rsid w:val="004B1645"/>
    <w:rsid w:val="004B4465"/>
    <w:rsid w:val="004C79DF"/>
    <w:rsid w:val="004D1BF8"/>
    <w:rsid w:val="004D2C5A"/>
    <w:rsid w:val="004D369F"/>
    <w:rsid w:val="004E2278"/>
    <w:rsid w:val="004E48B4"/>
    <w:rsid w:val="004E7376"/>
    <w:rsid w:val="0050147B"/>
    <w:rsid w:val="005017D3"/>
    <w:rsid w:val="00510567"/>
    <w:rsid w:val="0052204A"/>
    <w:rsid w:val="00533F59"/>
    <w:rsid w:val="00547E9D"/>
    <w:rsid w:val="005508AE"/>
    <w:rsid w:val="00554578"/>
    <w:rsid w:val="00556C20"/>
    <w:rsid w:val="005600E7"/>
    <w:rsid w:val="005605A7"/>
    <w:rsid w:val="00562808"/>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07D48"/>
    <w:rsid w:val="0061364A"/>
    <w:rsid w:val="00614B78"/>
    <w:rsid w:val="0062315B"/>
    <w:rsid w:val="00631914"/>
    <w:rsid w:val="00637F64"/>
    <w:rsid w:val="006400BF"/>
    <w:rsid w:val="0065659D"/>
    <w:rsid w:val="006603BF"/>
    <w:rsid w:val="006723A7"/>
    <w:rsid w:val="00691CAA"/>
    <w:rsid w:val="006930C6"/>
    <w:rsid w:val="00693E07"/>
    <w:rsid w:val="006A138A"/>
    <w:rsid w:val="006B6D0C"/>
    <w:rsid w:val="006C31A6"/>
    <w:rsid w:val="006D2785"/>
    <w:rsid w:val="006D2D62"/>
    <w:rsid w:val="006F025F"/>
    <w:rsid w:val="006F6916"/>
    <w:rsid w:val="006F73C5"/>
    <w:rsid w:val="0070338A"/>
    <w:rsid w:val="00705548"/>
    <w:rsid w:val="00714032"/>
    <w:rsid w:val="0071520E"/>
    <w:rsid w:val="007173AA"/>
    <w:rsid w:val="00717771"/>
    <w:rsid w:val="00745B93"/>
    <w:rsid w:val="00746AC5"/>
    <w:rsid w:val="00753951"/>
    <w:rsid w:val="00756199"/>
    <w:rsid w:val="00756C5F"/>
    <w:rsid w:val="00764F98"/>
    <w:rsid w:val="007657B9"/>
    <w:rsid w:val="0078430F"/>
    <w:rsid w:val="0079324F"/>
    <w:rsid w:val="00796FFA"/>
    <w:rsid w:val="007B0DC4"/>
    <w:rsid w:val="007C0927"/>
    <w:rsid w:val="007C5A83"/>
    <w:rsid w:val="007E4B84"/>
    <w:rsid w:val="007E7F2C"/>
    <w:rsid w:val="007F4DE0"/>
    <w:rsid w:val="007F5F75"/>
    <w:rsid w:val="00802079"/>
    <w:rsid w:val="00803A9D"/>
    <w:rsid w:val="008121B4"/>
    <w:rsid w:val="008170BF"/>
    <w:rsid w:val="00855BDD"/>
    <w:rsid w:val="00856173"/>
    <w:rsid w:val="008568C9"/>
    <w:rsid w:val="0086022D"/>
    <w:rsid w:val="00865FC5"/>
    <w:rsid w:val="00874271"/>
    <w:rsid w:val="00885D9F"/>
    <w:rsid w:val="00892415"/>
    <w:rsid w:val="00895FEF"/>
    <w:rsid w:val="0089732D"/>
    <w:rsid w:val="008B0C39"/>
    <w:rsid w:val="008C1688"/>
    <w:rsid w:val="008D0979"/>
    <w:rsid w:val="008D5851"/>
    <w:rsid w:val="008D6312"/>
    <w:rsid w:val="008E6926"/>
    <w:rsid w:val="008F6D19"/>
    <w:rsid w:val="008F7924"/>
    <w:rsid w:val="00900E06"/>
    <w:rsid w:val="00902F63"/>
    <w:rsid w:val="00917DC5"/>
    <w:rsid w:val="009223B1"/>
    <w:rsid w:val="00924057"/>
    <w:rsid w:val="0092598A"/>
    <w:rsid w:val="00930A14"/>
    <w:rsid w:val="00937C6D"/>
    <w:rsid w:val="009409E6"/>
    <w:rsid w:val="0094314C"/>
    <w:rsid w:val="00945951"/>
    <w:rsid w:val="00995C6A"/>
    <w:rsid w:val="009A2E74"/>
    <w:rsid w:val="009A2F1D"/>
    <w:rsid w:val="009B22B4"/>
    <w:rsid w:val="009B3152"/>
    <w:rsid w:val="009B47FA"/>
    <w:rsid w:val="009B5852"/>
    <w:rsid w:val="009C52D8"/>
    <w:rsid w:val="009D03A0"/>
    <w:rsid w:val="009D1019"/>
    <w:rsid w:val="009D1DE2"/>
    <w:rsid w:val="009D45D9"/>
    <w:rsid w:val="009D604B"/>
    <w:rsid w:val="009E66CE"/>
    <w:rsid w:val="009F5703"/>
    <w:rsid w:val="00A03FE5"/>
    <w:rsid w:val="00A1799E"/>
    <w:rsid w:val="00A20064"/>
    <w:rsid w:val="00A26526"/>
    <w:rsid w:val="00A3369F"/>
    <w:rsid w:val="00A53180"/>
    <w:rsid w:val="00A53F63"/>
    <w:rsid w:val="00A613F9"/>
    <w:rsid w:val="00A73EA4"/>
    <w:rsid w:val="00A81FC3"/>
    <w:rsid w:val="00A970D6"/>
    <w:rsid w:val="00AA537C"/>
    <w:rsid w:val="00AA7A21"/>
    <w:rsid w:val="00AD4C06"/>
    <w:rsid w:val="00AD53BC"/>
    <w:rsid w:val="00AE3618"/>
    <w:rsid w:val="00AE5BBE"/>
    <w:rsid w:val="00AF4FF3"/>
    <w:rsid w:val="00B1702E"/>
    <w:rsid w:val="00B24EFE"/>
    <w:rsid w:val="00B27BC8"/>
    <w:rsid w:val="00B4213B"/>
    <w:rsid w:val="00B42A15"/>
    <w:rsid w:val="00B470C0"/>
    <w:rsid w:val="00B507CF"/>
    <w:rsid w:val="00B672B6"/>
    <w:rsid w:val="00B71E32"/>
    <w:rsid w:val="00B7333E"/>
    <w:rsid w:val="00B848F1"/>
    <w:rsid w:val="00B926A7"/>
    <w:rsid w:val="00B9523F"/>
    <w:rsid w:val="00BA084B"/>
    <w:rsid w:val="00BB1BC4"/>
    <w:rsid w:val="00BC6F89"/>
    <w:rsid w:val="00BD35D9"/>
    <w:rsid w:val="00BD77F5"/>
    <w:rsid w:val="00BD7F30"/>
    <w:rsid w:val="00BE09CC"/>
    <w:rsid w:val="00BE2EFA"/>
    <w:rsid w:val="00BF5745"/>
    <w:rsid w:val="00C00190"/>
    <w:rsid w:val="00C00435"/>
    <w:rsid w:val="00C13B38"/>
    <w:rsid w:val="00C305D7"/>
    <w:rsid w:val="00C3199E"/>
    <w:rsid w:val="00C412A3"/>
    <w:rsid w:val="00C4191E"/>
    <w:rsid w:val="00C41ABE"/>
    <w:rsid w:val="00C43842"/>
    <w:rsid w:val="00C63013"/>
    <w:rsid w:val="00C63450"/>
    <w:rsid w:val="00C722B1"/>
    <w:rsid w:val="00C80956"/>
    <w:rsid w:val="00C80E48"/>
    <w:rsid w:val="00C82F67"/>
    <w:rsid w:val="00C861E7"/>
    <w:rsid w:val="00C9442E"/>
    <w:rsid w:val="00CB2581"/>
    <w:rsid w:val="00CB3AFD"/>
    <w:rsid w:val="00CD03E1"/>
    <w:rsid w:val="00CE35CE"/>
    <w:rsid w:val="00CE694C"/>
    <w:rsid w:val="00CE788E"/>
    <w:rsid w:val="00CF42CC"/>
    <w:rsid w:val="00D00136"/>
    <w:rsid w:val="00D12327"/>
    <w:rsid w:val="00D17CEA"/>
    <w:rsid w:val="00D259F8"/>
    <w:rsid w:val="00D369EE"/>
    <w:rsid w:val="00D52119"/>
    <w:rsid w:val="00D5676D"/>
    <w:rsid w:val="00D60D65"/>
    <w:rsid w:val="00D66667"/>
    <w:rsid w:val="00D67C25"/>
    <w:rsid w:val="00D83ECF"/>
    <w:rsid w:val="00D95F41"/>
    <w:rsid w:val="00DA0A5A"/>
    <w:rsid w:val="00DA3EF6"/>
    <w:rsid w:val="00DB0AEE"/>
    <w:rsid w:val="00DC3E86"/>
    <w:rsid w:val="00DC5BB7"/>
    <w:rsid w:val="00DC7E5A"/>
    <w:rsid w:val="00DE3D96"/>
    <w:rsid w:val="00DE4140"/>
    <w:rsid w:val="00DF03FD"/>
    <w:rsid w:val="00DF1160"/>
    <w:rsid w:val="00E02EBD"/>
    <w:rsid w:val="00E07F0F"/>
    <w:rsid w:val="00E36489"/>
    <w:rsid w:val="00E6471C"/>
    <w:rsid w:val="00E670EA"/>
    <w:rsid w:val="00E82AF9"/>
    <w:rsid w:val="00E85800"/>
    <w:rsid w:val="00E916AE"/>
    <w:rsid w:val="00E932E8"/>
    <w:rsid w:val="00EB304E"/>
    <w:rsid w:val="00EC087A"/>
    <w:rsid w:val="00EE54F6"/>
    <w:rsid w:val="00EE605A"/>
    <w:rsid w:val="00EF6AEF"/>
    <w:rsid w:val="00EF7113"/>
    <w:rsid w:val="00F2036E"/>
    <w:rsid w:val="00F20F4B"/>
    <w:rsid w:val="00F22D12"/>
    <w:rsid w:val="00F42A85"/>
    <w:rsid w:val="00F46B16"/>
    <w:rsid w:val="00F64B1D"/>
    <w:rsid w:val="00F757CA"/>
    <w:rsid w:val="00F8180F"/>
    <w:rsid w:val="00F87779"/>
    <w:rsid w:val="00F92049"/>
    <w:rsid w:val="00FA71EB"/>
    <w:rsid w:val="00FB254C"/>
    <w:rsid w:val="00FB2D65"/>
    <w:rsid w:val="00FD0A18"/>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897011646">
      <w:bodyDiv w:val="1"/>
      <w:marLeft w:val="0"/>
      <w:marRight w:val="0"/>
      <w:marTop w:val="0"/>
      <w:marBottom w:val="0"/>
      <w:divBdr>
        <w:top w:val="none" w:sz="0" w:space="0" w:color="auto"/>
        <w:left w:val="none" w:sz="0" w:space="0" w:color="auto"/>
        <w:bottom w:val="none" w:sz="0" w:space="0" w:color="auto"/>
        <w:right w:val="none" w:sz="0" w:space="0" w:color="auto"/>
      </w:divBdr>
    </w:div>
    <w:div w:id="973832176">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708528">
      <w:bodyDiv w:val="1"/>
      <w:marLeft w:val="0"/>
      <w:marRight w:val="0"/>
      <w:marTop w:val="0"/>
      <w:marBottom w:val="0"/>
      <w:divBdr>
        <w:top w:val="none" w:sz="0" w:space="0" w:color="auto"/>
        <w:left w:val="none" w:sz="0" w:space="0" w:color="auto"/>
        <w:bottom w:val="none" w:sz="0" w:space="0" w:color="auto"/>
        <w:right w:val="none" w:sz="0" w:space="0" w:color="auto"/>
      </w:divBdr>
    </w:div>
    <w:div w:id="1562790911">
      <w:bodyDiv w:val="1"/>
      <w:marLeft w:val="0"/>
      <w:marRight w:val="0"/>
      <w:marTop w:val="0"/>
      <w:marBottom w:val="0"/>
      <w:divBdr>
        <w:top w:val="none" w:sz="0" w:space="0" w:color="auto"/>
        <w:left w:val="none" w:sz="0" w:space="0" w:color="auto"/>
        <w:bottom w:val="none" w:sz="0" w:space="0" w:color="auto"/>
        <w:right w:val="none" w:sz="0" w:space="0" w:color="auto"/>
      </w:divBdr>
    </w:div>
    <w:div w:id="1633823415">
      <w:bodyDiv w:val="1"/>
      <w:marLeft w:val="0"/>
      <w:marRight w:val="0"/>
      <w:marTop w:val="0"/>
      <w:marBottom w:val="0"/>
      <w:divBdr>
        <w:top w:val="none" w:sz="0" w:space="0" w:color="auto"/>
        <w:left w:val="none" w:sz="0" w:space="0" w:color="auto"/>
        <w:bottom w:val="none" w:sz="0" w:space="0" w:color="auto"/>
        <w:right w:val="none" w:sz="0" w:space="0" w:color="auto"/>
      </w:divBdr>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1749499268">
      <w:bodyDiv w:val="1"/>
      <w:marLeft w:val="0"/>
      <w:marRight w:val="0"/>
      <w:marTop w:val="0"/>
      <w:marBottom w:val="0"/>
      <w:divBdr>
        <w:top w:val="none" w:sz="0" w:space="0" w:color="auto"/>
        <w:left w:val="none" w:sz="0" w:space="0" w:color="auto"/>
        <w:bottom w:val="none" w:sz="0" w:space="0" w:color="auto"/>
        <w:right w:val="none" w:sz="0" w:space="0" w:color="auto"/>
      </w:divBdr>
    </w:div>
    <w:div w:id="1958828366">
      <w:bodyDiv w:val="1"/>
      <w:marLeft w:val="0"/>
      <w:marRight w:val="0"/>
      <w:marTop w:val="0"/>
      <w:marBottom w:val="0"/>
      <w:divBdr>
        <w:top w:val="none" w:sz="0" w:space="0" w:color="auto"/>
        <w:left w:val="none" w:sz="0" w:space="0" w:color="auto"/>
        <w:bottom w:val="none" w:sz="0" w:space="0" w:color="auto"/>
        <w:right w:val="none" w:sz="0" w:space="0" w:color="auto"/>
      </w:divBdr>
    </w:div>
    <w:div w:id="1984314994">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CC579E0CED44EB28F48A06035B6E9" ma:contentTypeVersion="14" ma:contentTypeDescription="Create a new document." ma:contentTypeScope="" ma:versionID="e2f01bf265ec3f6947014467329cf151">
  <xsd:schema xmlns:xsd="http://www.w3.org/2001/XMLSchema" xmlns:xs="http://www.w3.org/2001/XMLSchema" xmlns:p="http://schemas.microsoft.com/office/2006/metadata/properties" xmlns:ns2="d520cd54-fed9-4219-84d9-bd7b8b627ff0" xmlns:ns3="1117b3cf-72aa-453b-92cc-8d9251f15f75" targetNamespace="http://schemas.microsoft.com/office/2006/metadata/properties" ma:root="true" ma:fieldsID="13dfc2a4ef7d770c8028931c772b5af9" ns2:_="" ns3:_="">
    <xsd:import namespace="d520cd54-fed9-4219-84d9-bd7b8b627ff0"/>
    <xsd:import namespace="1117b3cf-72aa-453b-92cc-8d9251f15f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cd54-fed9-4219-84d9-bd7b8b627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1fe77a-7f2b-40b5-8e86-4fbe175d43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7b3cf-72aa-453b-92cc-8d9251f15f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f0aeec-d66b-4343-942c-0f5f9be77aaa}" ma:internalName="TaxCatchAll" ma:showField="CatchAllData" ma:web="1117b3cf-72aa-453b-92cc-8d9251f15f7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17b3cf-72aa-453b-92cc-8d9251f15f75" xsi:nil="true"/>
    <lcf76f155ced4ddcb4097134ff3c332f xmlns="d520cd54-fed9-4219-84d9-bd7b8b627f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88CE-3213-4733-9310-096CD6299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cd54-fed9-4219-84d9-bd7b8b627ff0"/>
    <ds:schemaRef ds:uri="1117b3cf-72aa-453b-92cc-8d9251f15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B712A-B214-46B9-A4E5-64A7326EFE04}">
  <ds:schemaRefs>
    <ds:schemaRef ds:uri="http://schemas.microsoft.com/sharepoint/v3/contenttype/forms"/>
  </ds:schemaRefs>
</ds:datastoreItem>
</file>

<file path=customXml/itemProps3.xml><?xml version="1.0" encoding="utf-8"?>
<ds:datastoreItem xmlns:ds="http://schemas.openxmlformats.org/officeDocument/2006/customXml" ds:itemID="{424702B8-BD31-4E3F-9BEA-2B5E4A09E583}">
  <ds:schemaRefs>
    <ds:schemaRef ds:uri="http://schemas.microsoft.com/office/2006/metadata/properties"/>
    <ds:schemaRef ds:uri="http://schemas.microsoft.com/office/infopath/2007/PartnerControls"/>
    <ds:schemaRef ds:uri="1117b3cf-72aa-453b-92cc-8d9251f15f75"/>
    <ds:schemaRef ds:uri="d520cd54-fed9-4219-84d9-bd7b8b627ff0"/>
  </ds:schemaRefs>
</ds:datastoreItem>
</file>

<file path=customXml/itemProps4.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6419</Characters>
  <Application>Microsoft Office Word</Application>
  <DocSecurity>4</DocSecurity>
  <Lines>188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Louise Cosgrove</cp:lastModifiedBy>
  <cp:revision>2</cp:revision>
  <cp:lastPrinted>2019-10-10T09:22:00Z</cp:lastPrinted>
  <dcterms:created xsi:type="dcterms:W3CDTF">2025-11-25T09:41:00Z</dcterms:created>
  <dcterms:modified xsi:type="dcterms:W3CDTF">2025-11-25T09:41:00Z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0x010100AD5CC579E0CED44EB28F48A06035B6E9</vt:lpwstr>
  </property>
  <property fmtid="{D5CDD505-2E9C-101B-9397-08002B2CF9AE}" pid="3" name="MediaServiceImageTags">
    <vt:lpwstr/>
  </property>
</Properties>
</file>